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7C" w:rsidRPr="00B8237C" w:rsidRDefault="00B8237C" w:rsidP="00B8237C">
      <w:pPr>
        <w:tabs>
          <w:tab w:val="left" w:pos="610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571500" cy="762000"/>
            <wp:effectExtent l="0" t="0" r="0" b="0"/>
            <wp:wrapSquare wrapText="lef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37C" w:rsidRPr="00B8237C" w:rsidRDefault="00B8237C" w:rsidP="00B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B8237C" w:rsidRPr="00B8237C" w:rsidRDefault="00B8237C" w:rsidP="00B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B8237C" w:rsidRPr="00B8237C" w:rsidRDefault="00B8237C" w:rsidP="00B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B8237C" w:rsidRPr="00B8237C" w:rsidRDefault="00B8237C" w:rsidP="00B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УКРАЇНА</w:t>
      </w:r>
    </w:p>
    <w:p w:rsidR="00B8237C" w:rsidRPr="00B8237C" w:rsidRDefault="00B8237C" w:rsidP="00B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РУСЬКОКОМАРІВСЬКА СІЛЬСЬКА РАДА</w:t>
      </w:r>
    </w:p>
    <w:p w:rsidR="00B8237C" w:rsidRPr="00B8237C" w:rsidRDefault="00B8237C" w:rsidP="00B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УЖГОРОДСЬКИЙ РАЙОН ЗАКАРПАТСЬКА ОБЛАСТЬ</w:t>
      </w:r>
    </w:p>
    <w:p w:rsidR="00B8237C" w:rsidRPr="00B8237C" w:rsidRDefault="00B8237C" w:rsidP="00B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B8237C" w:rsidRPr="00B8237C" w:rsidRDefault="00B8237C" w:rsidP="00B8237C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 xml:space="preserve">                                          Р  І   Ш  Е  Н  </w:t>
      </w:r>
      <w:proofErr w:type="spellStart"/>
      <w:r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>Н</w:t>
      </w:r>
      <w:proofErr w:type="spellEnd"/>
      <w:r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 xml:space="preserve">  Я</w:t>
      </w:r>
    </w:p>
    <w:p w:rsidR="00B8237C" w:rsidRPr="00B8237C" w:rsidRDefault="00B8237C" w:rsidP="00B823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     (</w:t>
      </w:r>
      <w:r w:rsidR="007050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тридцять третьої</w:t>
      </w: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позачергової сесії сьомого скликання)</w:t>
      </w:r>
    </w:p>
    <w:p w:rsidR="00B8237C" w:rsidRPr="00B8237C" w:rsidRDefault="00B8237C" w:rsidP="00B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B8237C" w:rsidRPr="00B8237C" w:rsidRDefault="00B8237C" w:rsidP="00B8237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від  </w:t>
      </w:r>
      <w:r w:rsidR="007050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0</w:t>
      </w: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5  </w:t>
      </w:r>
      <w:r w:rsidR="007050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черв</w:t>
      </w: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ня  20</w:t>
      </w:r>
      <w:r w:rsidR="007050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20</w:t>
      </w: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року </w:t>
      </w:r>
    </w:p>
    <w:p w:rsidR="00B8237C" w:rsidRPr="00B8237C" w:rsidRDefault="00B8237C" w:rsidP="00B8237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село Руські Комарівці</w:t>
      </w:r>
    </w:p>
    <w:p w:rsidR="00B8237C" w:rsidRPr="00B8237C" w:rsidRDefault="00B8237C" w:rsidP="00B8237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B8237C" w:rsidRPr="00B8237C" w:rsidRDefault="00B8237C" w:rsidP="00B8237C">
      <w:pPr>
        <w:keepNext/>
        <w:spacing w:after="0" w:line="240" w:lineRule="auto"/>
        <w:ind w:left="-567" w:firstLine="141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 xml:space="preserve">Про встановлення ставок та пільг із   </w:t>
      </w:r>
    </w:p>
    <w:p w:rsidR="00B8237C" w:rsidRPr="00B8237C" w:rsidRDefault="00B8237C" w:rsidP="00B8237C">
      <w:pPr>
        <w:keepNext/>
        <w:spacing w:after="0" w:line="240" w:lineRule="auto"/>
        <w:ind w:left="-567" w:firstLine="141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>сплати податку на нерухоме майно,</w:t>
      </w:r>
    </w:p>
    <w:p w:rsidR="00111073" w:rsidRDefault="00B8237C" w:rsidP="00B8237C">
      <w:pPr>
        <w:keepNext/>
        <w:spacing w:after="0" w:line="240" w:lineRule="auto"/>
        <w:ind w:left="-567" w:firstLine="141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 xml:space="preserve">відмінне від земельної ділянки на </w:t>
      </w:r>
      <w:r w:rsidR="00111073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 xml:space="preserve">території </w:t>
      </w:r>
    </w:p>
    <w:p w:rsidR="00B8237C" w:rsidRPr="00B8237C" w:rsidRDefault="00111073" w:rsidP="00B8237C">
      <w:pPr>
        <w:keepNext/>
        <w:spacing w:after="0" w:line="240" w:lineRule="auto"/>
        <w:ind w:left="-567" w:firstLine="141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>Руськокомарівської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 xml:space="preserve"> сільської ради </w:t>
      </w:r>
      <w:r w:rsidR="00B8237C"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>202</w:t>
      </w:r>
      <w:r w:rsidR="007050E1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>1</w:t>
      </w:r>
      <w:r w:rsidR="00B8237C"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 xml:space="preserve"> рік</w:t>
      </w:r>
    </w:p>
    <w:p w:rsidR="00B8237C" w:rsidRPr="00B8237C" w:rsidRDefault="00B8237C" w:rsidP="00B8237C">
      <w:pPr>
        <w:keepNext/>
        <w:spacing w:after="0" w:line="240" w:lineRule="auto"/>
        <w:ind w:left="-567" w:firstLine="141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</w:pP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23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статтею 266 Податкового кодексу України, пунктом 24 частини першої статті 26 Закону України «про місцеве самоврядування в Україні», постановою КМУ від 24.05.2017 р. № 483 «Про затвердження форм типових  рішень про встановлення ставок та пільг із сплати земельного податку та податку на нерухоме майно, відмінне від земельної ділянки»  сесія сільської ради  </w:t>
      </w:r>
    </w:p>
    <w:p w:rsidR="00B8237C" w:rsidRPr="00B8237C" w:rsidRDefault="00B8237C" w:rsidP="00B8237C">
      <w:pPr>
        <w:spacing w:after="0" w:line="276" w:lineRule="auto"/>
        <w:ind w:firstLine="600"/>
        <w:jc w:val="both"/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</w:pPr>
      <w:r w:rsidRPr="00B8237C">
        <w:rPr>
          <w:rFonts w:ascii="Times New Roman" w:eastAsia="Arial Unicode MS" w:hAnsi="Times New Roman" w:cs="Times New Roman"/>
          <w:sz w:val="28"/>
          <w:szCs w:val="24"/>
          <w:lang w:val="uk-UA" w:eastAsia="ru-RU"/>
        </w:rPr>
        <w:t xml:space="preserve">                                 </w:t>
      </w:r>
      <w:r w:rsidRPr="00B8237C"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  <w:t>В И Р І Ш И Л А :</w:t>
      </w:r>
    </w:p>
    <w:p w:rsidR="00F7142C" w:rsidRPr="00F7142C" w:rsidRDefault="00B8237C" w:rsidP="00F7142C">
      <w:pPr>
        <w:pStyle w:val="af"/>
        <w:numPr>
          <w:ilvl w:val="0"/>
          <w:numId w:val="28"/>
        </w:numPr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1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 з 01.01.</w:t>
      </w:r>
    </w:p>
    <w:p w:rsidR="00B8237C" w:rsidRPr="00F7142C" w:rsidRDefault="00B8237C" w:rsidP="00F7142C">
      <w:pPr>
        <w:pStyle w:val="af"/>
        <w:numPr>
          <w:ilvl w:val="0"/>
          <w:numId w:val="28"/>
        </w:numPr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1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050E1" w:rsidRPr="00F71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71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 території </w:t>
      </w:r>
      <w:proofErr w:type="spellStart"/>
      <w:r w:rsidRPr="00F71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Руськокомарівської</w:t>
      </w:r>
      <w:proofErr w:type="spellEnd"/>
      <w:r w:rsidRPr="00F71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Ужгородського району Закарпатської області: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1) ставки податку на нерухоме майно, відмінне від земельної ділянки, згідно з додатком 1;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2) встановити базу оподаткування об</w:t>
      </w:r>
      <w:r w:rsidRPr="00B8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/об</w:t>
      </w:r>
      <w:r w:rsidRPr="00B8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proofErr w:type="spellEnd"/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житлової нерухомості, в тому числі їх часток, що перебувають у власності фізичної особи-платника податку: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 для квартири/квартир незалежно від їх кількості – 60 </w:t>
      </w:r>
      <w:proofErr w:type="spellStart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.;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б)  для житлового будинку/будинків незалежно від їх кількості - 120 </w:t>
      </w:r>
      <w:proofErr w:type="spellStart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.;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в) для різних типів об</w:t>
      </w:r>
      <w:r w:rsidRPr="00B8237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єктів</w:t>
      </w:r>
      <w:proofErr w:type="spellEnd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житлової нерухомості, в тому числі їх часток (у разі одночасного перебування у власності платника податку квартири/квартир та житлового будинку/</w:t>
      </w:r>
      <w:proofErr w:type="spellStart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будинків,у</w:t>
      </w:r>
      <w:proofErr w:type="spellEnd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тому числі їх часток) - 180 </w:t>
      </w:r>
      <w:proofErr w:type="spellStart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пільги для фізичних та юридичних осіб, надані відповідно до підпункту 266.4.2 пункту 266.4 статті 266 Податкового кодексу  України, за переліком згідно з додатком 2. 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 Секретарю сільської ради забезпечити оприлюднення цього рішення шляхом розміщення на інформаційному стенді в приміщенні адмінбудинку сільської ради та на сайті Ужгородської районної ради.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Направити копію даного рішення до Ужгородської ОДПІ Головного управління ДФС у Закарпатській області для виконання.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  </w:t>
      </w:r>
      <w:r w:rsidR="00552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</w:t>
      </w: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набирає чинності з 01.01.202</w:t>
      </w:r>
      <w:r w:rsidR="00705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8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5.  Контроль за виконанням  цього рішення покласти на бюджетну  комісію сільської ради.</w:t>
      </w:r>
    </w:p>
    <w:p w:rsidR="00B8237C" w:rsidRPr="00B8237C" w:rsidRDefault="00B8237C" w:rsidP="00B8237C">
      <w:pPr>
        <w:spacing w:after="0" w:line="240" w:lineRule="auto"/>
        <w:ind w:left="-426" w:right="-23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:rsidR="00B8237C" w:rsidRPr="00B8237C" w:rsidRDefault="00B8237C" w:rsidP="00B8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Сільський голова</w:t>
      </w: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050E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Віталій </w:t>
      </w:r>
      <w:r w:rsidRPr="00B823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</w:t>
      </w:r>
      <w:r w:rsidR="007050E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ІЛАК</w:t>
      </w:r>
    </w:p>
    <w:p w:rsidR="00B8237C" w:rsidRDefault="00B8237C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</w:p>
    <w:p w:rsidR="00F7142C" w:rsidRDefault="00F7142C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</w:p>
    <w:p w:rsidR="00F7142C" w:rsidRDefault="00F7142C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</w:p>
    <w:p w:rsidR="00B8237C" w:rsidRPr="0099750C" w:rsidRDefault="00B8237C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</w:p>
    <w:p w:rsidR="0099750C" w:rsidRPr="0099750C" w:rsidRDefault="0099750C" w:rsidP="0099750C">
      <w:pPr>
        <w:widowControl w:val="0"/>
        <w:spacing w:after="0" w:line="27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Додаток </w:t>
      </w:r>
      <w:r w:rsid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</w:p>
    <w:p w:rsidR="00276D94" w:rsidRPr="002B1B85" w:rsidRDefault="0099750C" w:rsidP="0099750C">
      <w:pPr>
        <w:widowControl w:val="0"/>
        <w:spacing w:after="0" w:line="27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до рішення </w:t>
      </w:r>
      <w:r w:rsidR="00705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33</w:t>
      </w:r>
      <w:r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позачергової сесії </w:t>
      </w:r>
    </w:p>
    <w:p w:rsidR="00276D94" w:rsidRPr="002B1B85" w:rsidRDefault="00276D94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</w:t>
      </w:r>
      <w:r w:rsid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Руськокомарівсько</w:t>
      </w:r>
      <w:r w:rsidRP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сільської ради 7 скликання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99750C" w:rsidRPr="0099750C" w:rsidRDefault="00276D94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05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5.0</w:t>
      </w:r>
      <w:r w:rsidR="00705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.20</w:t>
      </w:r>
      <w:r w:rsidR="00705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</w:t>
      </w:r>
      <w:r w:rsidR="002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  <w:r w:rsidR="0099750C" w:rsidRPr="009975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</w:p>
    <w:p w:rsidR="0099750C" w:rsidRDefault="0099750C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975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</w:p>
    <w:p w:rsidR="0099750C" w:rsidRPr="0099750C" w:rsidRDefault="0099750C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4511D" w:rsidRPr="0034511D" w:rsidRDefault="00EF71C6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A0AFF">
        <w:rPr>
          <w:rFonts w:ascii="inherit" w:eastAsia="Times New Roman" w:hAnsi="inherit" w:cs="Times New Roman"/>
          <w:b/>
          <w:sz w:val="24"/>
          <w:szCs w:val="24"/>
          <w:lang w:val="uk-UA" w:eastAsia="ru-RU"/>
        </w:rPr>
        <w:t xml:space="preserve">                                        </w:t>
      </w:r>
      <w:r w:rsidR="005A0AFF">
        <w:rPr>
          <w:rFonts w:ascii="inherit" w:eastAsia="Times New Roman" w:hAnsi="inherit" w:cs="Times New Roman"/>
          <w:b/>
          <w:sz w:val="24"/>
          <w:szCs w:val="24"/>
          <w:lang w:val="uk-UA" w:eastAsia="ru-RU"/>
        </w:rPr>
        <w:t xml:space="preserve">            </w:t>
      </w:r>
      <w:r w:rsidRPr="005A0AFF">
        <w:rPr>
          <w:rFonts w:ascii="inherit" w:eastAsia="Times New Roman" w:hAnsi="inherit" w:cs="Times New Roman"/>
          <w:b/>
          <w:sz w:val="24"/>
          <w:szCs w:val="24"/>
          <w:lang w:val="uk-UA" w:eastAsia="ru-RU"/>
        </w:rPr>
        <w:t xml:space="preserve">  </w:t>
      </w:r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>СТАВКИ</w:t>
      </w:r>
      <w:r w:rsidR="0034511D" w:rsidRPr="0034511D">
        <w:rPr>
          <w:rFonts w:ascii="inherit" w:eastAsia="Times New Roman" w:hAnsi="inherit" w:cs="Times New Roman"/>
          <w:sz w:val="24"/>
          <w:szCs w:val="24"/>
          <w:vertAlign w:val="superscript"/>
          <w:lang w:eastAsia="ru-RU"/>
        </w:rPr>
        <w:br/>
      </w:r>
      <w:r w:rsidR="005A0AFF">
        <w:rPr>
          <w:rFonts w:ascii="inherit" w:eastAsia="Times New Roman" w:hAnsi="inherit" w:cs="Times New Roman"/>
          <w:b/>
          <w:sz w:val="28"/>
          <w:szCs w:val="28"/>
          <w:lang w:val="uk-UA" w:eastAsia="ru-RU"/>
        </w:rPr>
        <w:t xml:space="preserve">      </w:t>
      </w:r>
      <w:r w:rsidR="002B1B85">
        <w:rPr>
          <w:rFonts w:ascii="inherit" w:eastAsia="Times New Roman" w:hAnsi="inherit" w:cs="Times New Roman"/>
          <w:b/>
          <w:sz w:val="28"/>
          <w:szCs w:val="28"/>
          <w:lang w:val="uk-UA" w:eastAsia="ru-RU"/>
        </w:rPr>
        <w:t xml:space="preserve">   </w:t>
      </w:r>
      <w:r w:rsidR="005A0AFF">
        <w:rPr>
          <w:rFonts w:ascii="inherit" w:eastAsia="Times New Roman" w:hAnsi="inherit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>податку</w:t>
      </w:r>
      <w:proofErr w:type="spellEnd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на </w:t>
      </w:r>
      <w:proofErr w:type="spellStart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>нерухоме</w:t>
      </w:r>
      <w:proofErr w:type="spellEnd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proofErr w:type="spellStart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>майно</w:t>
      </w:r>
      <w:proofErr w:type="spellEnd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, </w:t>
      </w:r>
      <w:proofErr w:type="spellStart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>відмінне</w:t>
      </w:r>
      <w:proofErr w:type="spellEnd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proofErr w:type="spellStart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>від</w:t>
      </w:r>
      <w:proofErr w:type="spellEnd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proofErr w:type="spellStart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>земельної</w:t>
      </w:r>
      <w:proofErr w:type="spellEnd"/>
      <w:r w:rsidR="0034511D" w:rsidRPr="005A0AFF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ділянки</w:t>
      </w:r>
      <w:r w:rsidR="0034511D" w:rsidRPr="005A0AFF">
        <w:rPr>
          <w:rFonts w:ascii="inherit" w:eastAsia="Times New Roman" w:hAnsi="inherit" w:cs="Times New Roman"/>
          <w:b/>
          <w:sz w:val="28"/>
          <w:szCs w:val="28"/>
          <w:vertAlign w:val="superscript"/>
          <w:lang w:eastAsia="ru-RU"/>
        </w:rPr>
        <w:t>1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Ставки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встановлюються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20</w:t>
      </w:r>
      <w:r w:rsidR="002B1B85">
        <w:rPr>
          <w:rFonts w:ascii="inherit" w:eastAsia="Times New Roman" w:hAnsi="inherit" w:cs="Times New Roman"/>
          <w:sz w:val="24"/>
          <w:szCs w:val="24"/>
          <w:lang w:val="uk-UA" w:eastAsia="ru-RU"/>
        </w:rPr>
        <w:t>20</w:t>
      </w: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вводяться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01 </w:t>
      </w:r>
      <w:proofErr w:type="spellStart"/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січня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 20</w:t>
      </w:r>
      <w:r w:rsidR="002B1B85">
        <w:rPr>
          <w:rFonts w:ascii="inherit" w:eastAsia="Times New Roman" w:hAnsi="inherit" w:cs="Times New Roman"/>
          <w:sz w:val="24"/>
          <w:szCs w:val="24"/>
          <w:lang w:val="uk-UA" w:eastAsia="ru-RU"/>
        </w:rPr>
        <w:t>2</w:t>
      </w:r>
      <w:r w:rsidR="007050E1">
        <w:rPr>
          <w:rFonts w:ascii="inherit" w:eastAsia="Times New Roman" w:hAnsi="inherit" w:cs="Times New Roman"/>
          <w:sz w:val="24"/>
          <w:szCs w:val="24"/>
          <w:lang w:val="uk-UA" w:eastAsia="ru-RU"/>
        </w:rPr>
        <w:t>1</w:t>
      </w:r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року.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Адміністративно-територіальні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одиниці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населені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пункти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території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об’єднаних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територіальних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громад,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поширюється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ради:</w:t>
      </w:r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99"/>
        <w:gridCol w:w="2169"/>
        <w:gridCol w:w="2927"/>
      </w:tblGrid>
      <w:tr w:rsidR="0034511D" w:rsidRPr="0034511D" w:rsidTr="0034511D">
        <w:tc>
          <w:tcPr>
            <w:tcW w:w="19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області</w:t>
            </w: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району</w:t>
            </w: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5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КОАТУУ</w:t>
            </w: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60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34511D" w:rsidRPr="0034511D" w:rsidTr="0034511D">
        <w:tc>
          <w:tcPr>
            <w:tcW w:w="19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2123282000</w:t>
            </w:r>
          </w:p>
        </w:tc>
        <w:tc>
          <w:tcPr>
            <w:tcW w:w="60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492093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Руськокомарівська</w:t>
            </w:r>
            <w:proofErr w:type="spellEnd"/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сільська</w:t>
            </w:r>
            <w:proofErr w:type="spellEnd"/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рада</w:t>
            </w:r>
          </w:p>
        </w:tc>
      </w:tr>
    </w:tbl>
    <w:p w:rsidR="0034511D" w:rsidRPr="0034511D" w:rsidRDefault="0034511D" w:rsidP="005A0AFF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42" w:tblpY="1"/>
        <w:tblOverlap w:val="never"/>
        <w:tblW w:w="49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65"/>
        <w:gridCol w:w="830"/>
        <w:gridCol w:w="830"/>
        <w:gridCol w:w="830"/>
        <w:gridCol w:w="830"/>
        <w:gridCol w:w="830"/>
        <w:gridCol w:w="830"/>
      </w:tblGrid>
      <w:tr w:rsidR="0034511D" w:rsidRPr="0034511D" w:rsidTr="00F9540D">
        <w:trPr>
          <w:tblHeader/>
        </w:trPr>
        <w:tc>
          <w:tcPr>
            <w:tcW w:w="2324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споруд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676" w:type="pct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Ставки податку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 1 кв. метр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розміру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мінімальної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плати)</w:t>
            </w:r>
          </w:p>
        </w:tc>
      </w:tr>
      <w:tr w:rsidR="0034511D" w:rsidRPr="0034511D" w:rsidTr="00E76015">
        <w:trPr>
          <w:tblHeader/>
        </w:trPr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найменування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8" w:type="pct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1338" w:type="pct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</w:pPr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Будівлі</w:t>
            </w:r>
            <w:proofErr w:type="spellEnd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житлові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одноквартирні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одноквартирні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1110.1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одноквартирні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5A0AFF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E76015" w:rsidRDefault="00E76015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E7601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5A0AF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1110.2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Котеджі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одноквартирні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підвищеної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комфортності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5A0AF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5A0AF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E22E7" w:rsidP="00F9540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787130" w:rsidRPr="0034511D" w:rsidTr="00E76015">
        <w:trPr>
          <w:gridAfter w:val="1"/>
          <w:wAfter w:w="446" w:type="pct"/>
        </w:trPr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130" w:rsidRPr="0034511D" w:rsidRDefault="0078713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1110.3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130" w:rsidRPr="0034511D" w:rsidRDefault="0078713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садибного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типу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130" w:rsidRPr="005A0AFF" w:rsidRDefault="00787130" w:rsidP="00F9540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130" w:rsidRPr="005A0AFF" w:rsidRDefault="005A0AFF" w:rsidP="00F9540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130" w:rsidRPr="0034511D" w:rsidRDefault="0078713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130" w:rsidRPr="0034511D" w:rsidRDefault="005A0AFF" w:rsidP="00F9540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130" w:rsidRPr="00AF7042" w:rsidRDefault="0078713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5A0AFF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0,</w:t>
            </w:r>
            <w:r w:rsidR="00B33166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FE3820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 </w:t>
            </w:r>
            <w:r w:rsidR="005A0AFF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 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1110.4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садові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76015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1.</w:t>
            </w:r>
            <w:r w:rsidR="005A0AFF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F7042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787130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5A0AF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E76015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.</w:t>
            </w:r>
            <w:r w:rsidR="00B33166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FE3820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4582A" w:rsidRPr="0034511D" w:rsidRDefault="00C4582A" w:rsidP="00C458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C4582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</w:pPr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Будинки</w:t>
            </w:r>
            <w:proofErr w:type="spellEnd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двома</w:t>
            </w:r>
            <w:proofErr w:type="spellEnd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більше</w:t>
            </w:r>
            <w:proofErr w:type="spellEnd"/>
            <w:r w:rsidRPr="00C4582A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 xml:space="preserve"> квартирами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двома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квартирами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1121.1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двоквартирні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415F0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C4582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1,0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C26BE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 w:rsidR="00B8237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FE3820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1121.2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Котеджі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двоквартирні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підвищеної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комфортності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415F0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C72C24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 w:rsidR="00A74D5D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трьома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квартирами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1122.1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багатоквартирні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F7042" w:rsidRDefault="0034511D" w:rsidP="00C458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C72C24" w:rsidP="00C72C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C26BE" w:rsidRDefault="00C4582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B33166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</w:t>
            </w:r>
            <w:r w:rsidR="00C72C24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FE3820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1122.2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багатоквартирні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підвищеної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комфортності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індивідуальні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415F0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C72C24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,5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1122.3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готельного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типу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C26BE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3E22E7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FE3820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FE3820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Гуртожитки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1130.1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Гуртожитки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робітників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службовців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1130.2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Гуртожитки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закладів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E22E7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3E22E7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1130.3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Гуртожитки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закладів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C4582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1130.4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Будинки-інтернати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людей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похилого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інвалідів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C4582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1130.5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сирітські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будинки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C458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C458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1130.6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біженців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притулки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бездомних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1130.9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C4582A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C4582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</w:pPr>
            <w:r w:rsidRPr="0099750C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9750C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Будівлі</w:t>
            </w:r>
            <w:proofErr w:type="spellEnd"/>
            <w:r w:rsidRPr="0099750C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50C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нежитлові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Готелі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ресторани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подібні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готельні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1211.1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Готелі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415F0" w:rsidRDefault="00553435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0415F0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A74D5D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1211.2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Мотелі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7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1211.3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Кемпінги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  <w:p w:rsidR="0034511D" w:rsidRDefault="00F7142C" w:rsidP="00F7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  </w:t>
            </w:r>
            <w:r w:rsidR="0099750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  <w:p w:rsidR="00F7142C" w:rsidRPr="0099750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1211.4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Пансіонати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1211.5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Ресторани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415F0" w:rsidRDefault="00A74D5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0415F0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74D5D" w:rsidRDefault="00A74D5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E22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7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1212.1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гірські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притулки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D41A1E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1212.2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Дитячі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сімейні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табори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1212.3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Центри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1212.9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класифіковані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раніше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офісні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офісні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1220.1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державного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управління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F7142C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F7142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1220.2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1220.3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правосуддя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1220.4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закордонних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представництв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1220.5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Адміністративно-побутові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промислових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176FB5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1220.</w:t>
            </w:r>
            <w:r w:rsidR="0099750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конторських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C26BE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553435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C26BE" w:rsidRDefault="0099750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553435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торговельні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1230.1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Торгові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центри,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універмаги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магазини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74D5D" w:rsidRDefault="006162F1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74D5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</w:t>
            </w:r>
            <w:r w:rsidR="00A74D5D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1230.2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ринки,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павільйони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ярмарків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1230.3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Станції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автомобілів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6162F1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</w:t>
            </w:r>
            <w:r w:rsidR="00A74D5D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 w:rsidR="003E22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74D5D" w:rsidRDefault="006162F1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D41A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1230.4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Їдальні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кафе,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закусочні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D41A1E" w:rsidRDefault="00D41A1E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B33166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</w:t>
            </w:r>
            <w:r w:rsidR="00B33166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1230.5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1230.6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E22E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55326C" w:rsidRDefault="0055326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1230.9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торговельні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74D5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</w:t>
            </w:r>
            <w:r w:rsidR="00A74D5D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аеровокзали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ними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Автовокзали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6162F1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електротранспорту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Аеровокзали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повітряного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Морські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річкові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маяки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ними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станцій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підвісних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канатних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доріг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  <w:p w:rsidR="00F7142C" w:rsidRDefault="00F7142C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F7142C" w:rsidRPr="0034511D" w:rsidRDefault="00F7142C" w:rsidP="00F7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1241.7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телевізійного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мовлення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телефонних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станцій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телекомунікаційних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74D5D" w:rsidRDefault="00A74D5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1241.8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Ангари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літаків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локомотивні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вагонні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трамвайні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тролейбусні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1241.9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Гаражі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1242.1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Гаражі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наземні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415F0" w:rsidRDefault="000415F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9750C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</w:t>
            </w:r>
            <w:r w:rsidR="006162F1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1242.2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Гаражі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підземні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3BD" w:rsidRDefault="003943B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4511D" w:rsidRPr="0034511D" w:rsidRDefault="0034511D" w:rsidP="003943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1242.3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Стоянки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автомобільні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криті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415F0" w:rsidRDefault="000415F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0,</w:t>
            </w:r>
            <w:r w:rsidR="009D2787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A74D5D" w:rsidRDefault="002917E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</w:t>
            </w:r>
            <w:r w:rsidR="006162F1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1242.4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Навіси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велосипедів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промислові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склади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промислові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машинобудування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металообробної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промисловості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чорної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металургії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хімічної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нафтохімічної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промисловості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промисловості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харчової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промисловості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0415F0" w:rsidRDefault="006162F1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B33166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2917E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мікробіологічної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промисловості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1251.7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лісової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деревообробної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целюлозно-паперової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промисловості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1251.8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будівельної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індустрії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скляної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фарфоро-фаянсової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промисловості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1251.9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промислових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виробництв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поліграфічне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Резервуари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силоси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склади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Резервуари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нафти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нафтопродуктів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газу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Резервуари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ємності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Силоси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зерна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785BC0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Силоси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цементу</w:t>
            </w:r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сипучих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спеціальні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товарні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1252.6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Холодильники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1252.7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Складські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майданчики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1252.8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універсальні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1252.9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сховища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інші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виступів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оздоровчого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виступів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1261.1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кінотеатри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концертні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2917E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1261.2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засідань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багатоцільові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виступів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D2787" w:rsidRDefault="009D278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</w:t>
            </w:r>
            <w:r w:rsidR="002917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B33166" w:rsidRDefault="00B33166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9D2787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1261.3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Цирки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1261.4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Казино,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ігорні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1261.5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Музичні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танцювальні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дискотеки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D2787" w:rsidRDefault="009D278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</w:t>
            </w:r>
            <w:r w:rsidR="002917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1261.9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виступів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B33166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Музеї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бібліотеки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1262.1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Музеї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галереї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1262.2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Бібліотеки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книгосховища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1262.3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центри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1262.4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Планетарії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1262.5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архівів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1262.6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зоологічних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ботанічних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садів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3BD" w:rsidRPr="003943BD" w:rsidRDefault="003943BD" w:rsidP="003943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дослідних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науково-дослідних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проектно-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вишукувальних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2917E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1263.3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шкіл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середніх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закладів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професійно-технічних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закладів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дошкільних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позашкільних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закладів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спеціальних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потребами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1263.7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фахової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перепідготовки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1263.8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метеорологічних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станцій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обсерваторій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2917E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0,3</w:t>
            </w:r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1263.9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освітніх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науково-дослідних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інші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лікарень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оздоровчих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1264.1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Лікарні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багатопрофільні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закладів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1264.2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Лікарні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профільні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диспансери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1264.3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Материнські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дитячі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реабілітаційні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центри,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пологові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будинки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1264.4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Поліклініки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консультації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1264.5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Шпиталі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в’язниць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Сил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1264.6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Санаторії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профілакторії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центри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функціональної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реабілітації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C1C6D" w:rsidRDefault="009D278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9C1C6D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1264.9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лікувально-профілактичні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оздоровчі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інші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C1C6D" w:rsidRDefault="009D278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99750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Default="0034511D" w:rsidP="003C18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C18DA" w:rsidRPr="003C18DA" w:rsidRDefault="003C18D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  <w:p w:rsidR="003C18DA" w:rsidRDefault="003C18D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C18DA" w:rsidRPr="0034511D" w:rsidRDefault="003C18DA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спортивні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1265.1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гімнастичні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баскетбольні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волейбольні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тенісні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C1C6D" w:rsidRDefault="009D278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99750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18DA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C18D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1265.2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Басейни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плавання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9C1C6D" w:rsidRDefault="009D278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  <w:r w:rsidR="009C1C6D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18DA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C18D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1265.3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Хокейні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льодові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стадіони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криті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1265.4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Манежі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легкоатлетичні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9D2787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1,</w:t>
            </w:r>
            <w:r w:rsidR="008B21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18DA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C18D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1265.5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1265.9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EC3922" w:rsidRDefault="00EC3922" w:rsidP="00F9540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  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18DA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C18D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нежитлові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лісівництва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рибного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тваринництва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птахівництва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3C79A7">
        <w:trPr>
          <w:trHeight w:val="221"/>
        </w:trPr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зерна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063F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063F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605396">
        <w:trPr>
          <w:trHeight w:val="342"/>
        </w:trPr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79A7" w:rsidRDefault="0034511D" w:rsidP="00B3316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1271.</w:t>
            </w:r>
            <w:r w:rsidR="003C79A7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5396" w:rsidRDefault="0034511D" w:rsidP="006053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силосні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сінажні</w:t>
            </w:r>
            <w:proofErr w:type="spellEnd"/>
          </w:p>
          <w:p w:rsidR="00B33166" w:rsidRDefault="00B33166" w:rsidP="006053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B33166" w:rsidRPr="00B33166" w:rsidRDefault="00B33166" w:rsidP="006053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Будівлі для садівництва, виноградарства та виноробства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79A7" w:rsidRDefault="003C79A7" w:rsidP="003C79A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 </w:t>
            </w:r>
            <w:r w:rsidR="008B21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8B21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278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0" w:name="_Hlk10455856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1271.6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тепличного господарства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1271.7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рибного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18DA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C18D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18DA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C18DA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1271.8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лісівництва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звірівництва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C39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C18DA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1271.9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інші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релігійної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діяльності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1272.1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Церкви,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костьоли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мечеті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синагоги тощо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1272.2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Похоронні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бюро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ритуальні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1272.3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Цвинтарі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крематорії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E9446F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Пам’ятки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охороняються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державою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1273.1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Пам’ятки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архітектури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1273.2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Археологічні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розкопки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руїни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охороняються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державою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1273.3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Меморіали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художньо-декоративні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статуї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4484" w:type="pct"/>
            <w:gridSpan w:val="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класифіковані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раніше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1274.1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Казарми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Сил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1274.2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поліцейських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пожежних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служб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1274.3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в’язниць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слідчих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ізоляторів</w:t>
            </w:r>
            <w:r w:rsidRPr="0034511D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1274.4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лазень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пралень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C3922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E76015">
        <w:tc>
          <w:tcPr>
            <w:tcW w:w="5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1274.5</w:t>
            </w:r>
          </w:p>
        </w:tc>
        <w:tc>
          <w:tcPr>
            <w:tcW w:w="180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E9446F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5EB4" w:rsidRPr="0034511D" w:rsidRDefault="00E9446F" w:rsidP="00865E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F954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5EB4" w:rsidRPr="00865EB4" w:rsidRDefault="0034511D" w:rsidP="00865EB4">
      <w:pPr>
        <w:pStyle w:val="a7"/>
        <w:rPr>
          <w:rFonts w:ascii="Times New Roman" w:hAnsi="Times New Roman" w:cs="Times New Roman"/>
          <w:lang w:val="uk-UA" w:eastAsia="ru-RU"/>
        </w:rPr>
      </w:pPr>
      <w:r w:rsidRPr="0034511D">
        <w:rPr>
          <w:lang w:eastAsia="ru-RU"/>
        </w:rPr>
        <w:t> </w:t>
      </w:r>
      <w:r w:rsidR="00865EB4">
        <w:rPr>
          <w:lang w:val="uk-UA" w:eastAsia="ru-RU"/>
        </w:rPr>
        <w:t xml:space="preserve">     2212.2         </w:t>
      </w:r>
      <w:r w:rsidR="00865EB4" w:rsidRPr="00865EB4">
        <w:rPr>
          <w:rFonts w:ascii="Times New Roman" w:hAnsi="Times New Roman" w:cs="Times New Roman"/>
          <w:lang w:val="uk-UA" w:eastAsia="ru-RU"/>
        </w:rPr>
        <w:t xml:space="preserve">Станції насосні та фільтраційні </w:t>
      </w:r>
      <w:r w:rsidR="00865EB4">
        <w:rPr>
          <w:rFonts w:ascii="Times New Roman" w:hAnsi="Times New Roman" w:cs="Times New Roman"/>
          <w:lang w:val="uk-UA" w:eastAsia="ru-RU"/>
        </w:rPr>
        <w:t xml:space="preserve">         0,3                                       </w:t>
      </w:r>
      <w:r w:rsidR="003C18DA">
        <w:rPr>
          <w:rFonts w:ascii="Times New Roman" w:hAnsi="Times New Roman" w:cs="Times New Roman"/>
          <w:lang w:val="uk-UA" w:eastAsia="ru-RU"/>
        </w:rPr>
        <w:t xml:space="preserve"> </w:t>
      </w:r>
      <w:r w:rsidR="00865EB4">
        <w:rPr>
          <w:rFonts w:ascii="Times New Roman" w:hAnsi="Times New Roman" w:cs="Times New Roman"/>
          <w:lang w:val="uk-UA" w:eastAsia="ru-RU"/>
        </w:rPr>
        <w:t>0</w:t>
      </w:r>
    </w:p>
    <w:p w:rsidR="00A6069C" w:rsidRDefault="00865EB4" w:rsidP="00865EB4">
      <w:pPr>
        <w:pStyle w:val="a7"/>
        <w:rPr>
          <w:rFonts w:ascii="Times New Roman" w:hAnsi="Times New Roman" w:cs="Times New Roman"/>
          <w:lang w:val="uk-UA" w:eastAsia="ru-RU"/>
        </w:rPr>
      </w:pPr>
      <w:r w:rsidRPr="00865EB4">
        <w:rPr>
          <w:rFonts w:ascii="Times New Roman" w:hAnsi="Times New Roman" w:cs="Times New Roman"/>
          <w:lang w:val="uk-UA" w:eastAsia="ru-RU"/>
        </w:rPr>
        <w:t xml:space="preserve">                           на магістральних </w:t>
      </w:r>
      <w:proofErr w:type="spellStart"/>
      <w:r w:rsidRPr="00865EB4">
        <w:rPr>
          <w:rFonts w:ascii="Times New Roman" w:hAnsi="Times New Roman" w:cs="Times New Roman"/>
          <w:lang w:val="uk-UA" w:eastAsia="ru-RU"/>
        </w:rPr>
        <w:t>водопровода</w:t>
      </w:r>
      <w:proofErr w:type="spellEnd"/>
    </w:p>
    <w:p w:rsidR="00A6069C" w:rsidRDefault="00A6069C" w:rsidP="00865EB4">
      <w:pPr>
        <w:pStyle w:val="a7"/>
        <w:rPr>
          <w:rFonts w:ascii="Times New Roman" w:hAnsi="Times New Roman" w:cs="Times New Roman"/>
          <w:lang w:val="uk-UA" w:eastAsia="ru-RU"/>
        </w:rPr>
      </w:pPr>
    </w:p>
    <w:p w:rsidR="00A6069C" w:rsidRDefault="00A6069C" w:rsidP="00865EB4">
      <w:pPr>
        <w:pStyle w:val="a7"/>
        <w:tabs>
          <w:tab w:val="left" w:pos="1470"/>
          <w:tab w:val="left" w:pos="7275"/>
        </w:tabs>
        <w:rPr>
          <w:rFonts w:ascii="Times New Roman" w:hAnsi="Times New Roman" w:cs="Times New Roman"/>
          <w:lang w:val="uk-UA" w:eastAsia="ru-RU"/>
        </w:rPr>
      </w:pPr>
    </w:p>
    <w:p w:rsidR="00865EB4" w:rsidRDefault="00865EB4" w:rsidP="00865EB4">
      <w:pPr>
        <w:pStyle w:val="a7"/>
        <w:tabs>
          <w:tab w:val="left" w:pos="1470"/>
          <w:tab w:val="left" w:pos="7275"/>
        </w:tabs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2223.3</w:t>
      </w:r>
      <w:r>
        <w:rPr>
          <w:rFonts w:ascii="Times New Roman" w:hAnsi="Times New Roman" w:cs="Times New Roman"/>
          <w:lang w:val="uk-UA" w:eastAsia="ru-RU"/>
        </w:rPr>
        <w:tab/>
        <w:t>Установка для перероблення             0,3</w:t>
      </w:r>
      <w:r>
        <w:rPr>
          <w:rFonts w:ascii="Times New Roman" w:hAnsi="Times New Roman" w:cs="Times New Roman"/>
          <w:lang w:val="uk-UA" w:eastAsia="ru-RU"/>
        </w:rPr>
        <w:tab/>
      </w:r>
      <w:r w:rsidR="003C18DA">
        <w:rPr>
          <w:rFonts w:ascii="Times New Roman" w:hAnsi="Times New Roman" w:cs="Times New Roman"/>
          <w:lang w:val="uk-UA" w:eastAsia="ru-RU"/>
        </w:rPr>
        <w:t xml:space="preserve"> </w:t>
      </w:r>
      <w:r>
        <w:rPr>
          <w:rFonts w:ascii="Times New Roman" w:hAnsi="Times New Roman" w:cs="Times New Roman"/>
          <w:lang w:val="uk-UA" w:eastAsia="ru-RU"/>
        </w:rPr>
        <w:t>0</w:t>
      </w:r>
    </w:p>
    <w:p w:rsidR="00A6069C" w:rsidRDefault="00865EB4" w:rsidP="00A6069C">
      <w:pPr>
        <w:pStyle w:val="a7"/>
        <w:tabs>
          <w:tab w:val="left" w:pos="1470"/>
        </w:tabs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                          стічних вод</w:t>
      </w:r>
    </w:p>
    <w:p w:rsidR="00865EB4" w:rsidRDefault="00865EB4" w:rsidP="00A6069C">
      <w:pPr>
        <w:pStyle w:val="a7"/>
        <w:tabs>
          <w:tab w:val="left" w:pos="1470"/>
        </w:tabs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2214.4                Трансформаторні станції та               0,3                                    </w:t>
      </w:r>
      <w:r w:rsidR="003C18DA">
        <w:rPr>
          <w:rFonts w:ascii="Times New Roman" w:hAnsi="Times New Roman" w:cs="Times New Roman"/>
          <w:lang w:val="uk-UA" w:eastAsia="ru-RU"/>
        </w:rPr>
        <w:t xml:space="preserve">   </w:t>
      </w:r>
      <w:r>
        <w:rPr>
          <w:rFonts w:ascii="Times New Roman" w:hAnsi="Times New Roman" w:cs="Times New Roman"/>
          <w:lang w:val="uk-UA" w:eastAsia="ru-RU"/>
        </w:rPr>
        <w:t>0</w:t>
      </w:r>
    </w:p>
    <w:p w:rsidR="00865EB4" w:rsidRDefault="00865EB4" w:rsidP="00865EB4">
      <w:pPr>
        <w:pStyle w:val="a7"/>
        <w:tabs>
          <w:tab w:val="left" w:pos="1470"/>
        </w:tabs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                          підстанції магістральних ліній </w:t>
      </w:r>
    </w:p>
    <w:p w:rsidR="00865EB4" w:rsidRDefault="00865EB4" w:rsidP="00865EB4">
      <w:pPr>
        <w:pStyle w:val="a7"/>
        <w:tabs>
          <w:tab w:val="left" w:pos="1470"/>
        </w:tabs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                          електропередачі</w:t>
      </w:r>
    </w:p>
    <w:p w:rsidR="00865EB4" w:rsidRDefault="00865EB4" w:rsidP="00865EB4">
      <w:pPr>
        <w:pStyle w:val="a7"/>
        <w:tabs>
          <w:tab w:val="left" w:pos="1470"/>
        </w:tabs>
        <w:rPr>
          <w:rFonts w:ascii="Times New Roman" w:hAnsi="Times New Roman" w:cs="Times New Roman"/>
          <w:lang w:val="uk-UA" w:eastAsia="ru-RU"/>
        </w:rPr>
      </w:pPr>
    </w:p>
    <w:p w:rsidR="00865EB4" w:rsidRDefault="00865EB4" w:rsidP="00865EB4">
      <w:pPr>
        <w:pStyle w:val="a7"/>
        <w:tabs>
          <w:tab w:val="left" w:pos="1470"/>
          <w:tab w:val="left" w:pos="7215"/>
        </w:tabs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2222.4</w:t>
      </w:r>
      <w:r>
        <w:rPr>
          <w:rFonts w:ascii="Times New Roman" w:hAnsi="Times New Roman" w:cs="Times New Roman"/>
          <w:lang w:val="uk-UA" w:eastAsia="ru-RU"/>
        </w:rPr>
        <w:tab/>
        <w:t>Водяні свердловини, колодязі,         0,3</w:t>
      </w:r>
      <w:r>
        <w:rPr>
          <w:rFonts w:ascii="Times New Roman" w:hAnsi="Times New Roman" w:cs="Times New Roman"/>
          <w:lang w:val="uk-UA" w:eastAsia="ru-RU"/>
        </w:rPr>
        <w:tab/>
      </w:r>
      <w:r w:rsidR="00BF7CF3">
        <w:rPr>
          <w:rFonts w:ascii="Times New Roman" w:hAnsi="Times New Roman" w:cs="Times New Roman"/>
          <w:lang w:val="uk-UA" w:eastAsia="ru-RU"/>
        </w:rPr>
        <w:t xml:space="preserve">  </w:t>
      </w:r>
      <w:r>
        <w:rPr>
          <w:rFonts w:ascii="Times New Roman" w:hAnsi="Times New Roman" w:cs="Times New Roman"/>
          <w:lang w:val="uk-UA" w:eastAsia="ru-RU"/>
        </w:rPr>
        <w:t>0</w:t>
      </w:r>
    </w:p>
    <w:p w:rsidR="00865EB4" w:rsidRDefault="00865EB4" w:rsidP="00865EB4">
      <w:pPr>
        <w:pStyle w:val="a7"/>
        <w:tabs>
          <w:tab w:val="left" w:pos="1470"/>
        </w:tabs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lang w:val="uk-UA" w:eastAsia="ru-RU"/>
        </w:rPr>
        <w:t>Бювети</w:t>
      </w:r>
      <w:proofErr w:type="spellEnd"/>
    </w:p>
    <w:p w:rsidR="00865EB4" w:rsidRDefault="00865EB4" w:rsidP="00865EB4">
      <w:pPr>
        <w:pStyle w:val="a7"/>
        <w:tabs>
          <w:tab w:val="left" w:pos="1470"/>
        </w:tabs>
        <w:rPr>
          <w:rFonts w:ascii="Times New Roman" w:hAnsi="Times New Roman" w:cs="Times New Roman"/>
          <w:lang w:val="uk-UA" w:eastAsia="ru-RU"/>
        </w:rPr>
      </w:pPr>
    </w:p>
    <w:p w:rsidR="00865EB4" w:rsidRDefault="00865EB4" w:rsidP="00A6069C">
      <w:pPr>
        <w:pStyle w:val="a7"/>
        <w:tabs>
          <w:tab w:val="left" w:pos="1470"/>
          <w:tab w:val="center" w:pos="4677"/>
          <w:tab w:val="left" w:pos="7260"/>
        </w:tabs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2112                  </w:t>
      </w:r>
      <w:r w:rsidR="004F2FCD">
        <w:rPr>
          <w:rFonts w:ascii="Times New Roman" w:hAnsi="Times New Roman" w:cs="Times New Roman"/>
          <w:lang w:val="uk-UA" w:eastAsia="ru-RU"/>
        </w:rPr>
        <w:t>Вулиці та дороги</w:t>
      </w:r>
      <w:r w:rsidR="004F2FCD">
        <w:rPr>
          <w:rFonts w:ascii="Times New Roman" w:hAnsi="Times New Roman" w:cs="Times New Roman"/>
          <w:lang w:val="uk-UA" w:eastAsia="ru-RU"/>
        </w:rPr>
        <w:tab/>
        <w:t xml:space="preserve">           0,0</w:t>
      </w:r>
      <w:r w:rsidR="004F2FCD">
        <w:rPr>
          <w:rFonts w:ascii="Times New Roman" w:hAnsi="Times New Roman" w:cs="Times New Roman"/>
          <w:lang w:val="uk-UA" w:eastAsia="ru-RU"/>
        </w:rPr>
        <w:tab/>
        <w:t>0,0</w:t>
      </w:r>
    </w:p>
    <w:p w:rsidR="00A6069C" w:rsidRDefault="00A6069C" w:rsidP="00A6069C">
      <w:pPr>
        <w:pStyle w:val="a7"/>
        <w:tabs>
          <w:tab w:val="left" w:pos="1470"/>
          <w:tab w:val="center" w:pos="4677"/>
          <w:tab w:val="left" w:pos="7260"/>
        </w:tabs>
        <w:rPr>
          <w:rFonts w:ascii="Times New Roman" w:hAnsi="Times New Roman" w:cs="Times New Roman"/>
          <w:lang w:val="uk-UA" w:eastAsia="ru-RU"/>
        </w:rPr>
      </w:pPr>
    </w:p>
    <w:p w:rsidR="00A6069C" w:rsidRDefault="00A6069C" w:rsidP="00A6069C">
      <w:pPr>
        <w:pStyle w:val="a7"/>
        <w:tabs>
          <w:tab w:val="left" w:pos="1470"/>
          <w:tab w:val="center" w:pos="4677"/>
          <w:tab w:val="left" w:pos="7260"/>
        </w:tabs>
        <w:rPr>
          <w:rFonts w:ascii="Times New Roman" w:hAnsi="Times New Roman" w:cs="Times New Roman"/>
          <w:lang w:val="uk-UA" w:eastAsia="ru-RU"/>
        </w:rPr>
      </w:pPr>
    </w:p>
    <w:p w:rsidR="00A6069C" w:rsidRDefault="00A6069C" w:rsidP="00A6069C">
      <w:pPr>
        <w:pStyle w:val="a7"/>
        <w:tabs>
          <w:tab w:val="left" w:pos="1470"/>
          <w:tab w:val="center" w:pos="4677"/>
          <w:tab w:val="left" w:pos="7260"/>
        </w:tabs>
        <w:rPr>
          <w:rFonts w:ascii="Times New Roman" w:hAnsi="Times New Roman" w:cs="Times New Roman"/>
          <w:lang w:val="uk-UA" w:eastAsia="ru-RU"/>
        </w:rPr>
      </w:pPr>
    </w:p>
    <w:p w:rsidR="001955D6" w:rsidRPr="001A5C62" w:rsidRDefault="00E9446F" w:rsidP="001A5C62">
      <w:pPr>
        <w:pStyle w:val="a7"/>
        <w:tabs>
          <w:tab w:val="left" w:pos="1470"/>
        </w:tabs>
        <w:rPr>
          <w:lang w:val="uk-UA" w:eastAsia="ru-RU"/>
        </w:rPr>
      </w:pPr>
      <w:r w:rsidRPr="00A6069C">
        <w:rPr>
          <w:rFonts w:ascii="inherit" w:eastAsia="Times New Roman" w:hAnsi="inherit" w:cs="Times New Roman"/>
          <w:sz w:val="28"/>
          <w:szCs w:val="28"/>
          <w:lang w:val="uk-UA" w:eastAsia="ru-RU"/>
        </w:rPr>
        <w:t>Сільський голова</w:t>
      </w:r>
      <w:r w:rsidR="001955D6" w:rsidRPr="00A6069C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                                                                 В</w:t>
      </w:r>
      <w:r w:rsidR="00BF7CF3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італій </w:t>
      </w:r>
      <w:r w:rsidR="001955D6" w:rsidRPr="00A6069C">
        <w:rPr>
          <w:rFonts w:ascii="inherit" w:eastAsia="Times New Roman" w:hAnsi="inherit" w:cs="Times New Roman"/>
          <w:sz w:val="28"/>
          <w:szCs w:val="28"/>
          <w:lang w:val="uk-UA" w:eastAsia="ru-RU"/>
        </w:rPr>
        <w:t>Б</w:t>
      </w:r>
      <w:r w:rsidR="00BF7CF3">
        <w:rPr>
          <w:rFonts w:ascii="inherit" w:eastAsia="Times New Roman" w:hAnsi="inherit" w:cs="Times New Roman"/>
          <w:sz w:val="28"/>
          <w:szCs w:val="28"/>
          <w:lang w:val="uk-UA" w:eastAsia="ru-RU"/>
        </w:rPr>
        <w:t>ІЛАК</w:t>
      </w:r>
    </w:p>
    <w:bookmarkEnd w:id="0"/>
    <w:p w:rsidR="00A6069C" w:rsidRDefault="0034511D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7142C" w:rsidRDefault="00F7142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6069C" w:rsidRPr="0099750C" w:rsidRDefault="00A6069C" w:rsidP="0099750C">
      <w:pPr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750C" w:rsidRPr="0099750C" w:rsidRDefault="0099750C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</w:p>
    <w:p w:rsidR="0099750C" w:rsidRPr="0099750C" w:rsidRDefault="0099750C" w:rsidP="0099750C">
      <w:pPr>
        <w:widowControl w:val="0"/>
        <w:spacing w:after="0" w:line="27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Додаток 2</w:t>
      </w:r>
    </w:p>
    <w:p w:rsidR="00276D94" w:rsidRDefault="0099750C" w:rsidP="0099750C">
      <w:pPr>
        <w:widowControl w:val="0"/>
        <w:spacing w:after="0" w:line="27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до рішення </w:t>
      </w:r>
      <w:r w:rsidR="00D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33</w:t>
      </w:r>
      <w:r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позачергової сесії </w:t>
      </w:r>
    </w:p>
    <w:p w:rsidR="00276D94" w:rsidRDefault="00276D94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</w:t>
      </w:r>
      <w:proofErr w:type="spellStart"/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Руськокомарівсько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сільської ради 7 скликання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99750C" w:rsidRPr="0099750C" w:rsidRDefault="00276D94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7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Pr="0027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 </w:t>
      </w:r>
      <w:r w:rsidR="00D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05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.0</w:t>
      </w:r>
      <w:r w:rsidR="00D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.20</w:t>
      </w:r>
      <w:r w:rsidR="00D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</w:t>
      </w:r>
      <w:bookmarkStart w:id="1" w:name="_GoBack"/>
      <w:bookmarkEnd w:id="1"/>
      <w:r w:rsidR="0099750C" w:rsidRPr="00997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                  </w:t>
      </w:r>
    </w:p>
    <w:p w:rsidR="0099750C" w:rsidRPr="0099750C" w:rsidRDefault="0099750C" w:rsidP="0099750C">
      <w:pPr>
        <w:widowControl w:val="0"/>
        <w:spacing w:after="0" w:line="27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97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</w:p>
    <w:p w:rsidR="0034511D" w:rsidRPr="00276D94" w:rsidRDefault="001955D6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uk-UA" w:eastAsia="ru-RU"/>
        </w:rPr>
      </w:pPr>
      <w:r w:rsidRPr="00276D94">
        <w:rPr>
          <w:rFonts w:ascii="inherit" w:eastAsia="Times New Roman" w:hAnsi="inherit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</w:t>
      </w:r>
    </w:p>
    <w:p w:rsidR="0034511D" w:rsidRPr="00C72C24" w:rsidRDefault="0034511D" w:rsidP="00276D94">
      <w:pPr>
        <w:spacing w:after="225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</w:pPr>
      <w:r w:rsidRPr="00C72C24"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  <w:t>ПЕРЕЛІК</w:t>
      </w:r>
      <w:r w:rsidRPr="00C72C24"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  <w:br/>
        <w:t xml:space="preserve"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</w:t>
      </w:r>
      <w:proofErr w:type="spellStart"/>
      <w:r w:rsidRPr="00C72C24"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  <w:t>майно,відмінне</w:t>
      </w:r>
      <w:proofErr w:type="spellEnd"/>
      <w:r w:rsidRPr="00C72C24"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  <w:t xml:space="preserve"> від земельної ділянки</w:t>
      </w:r>
      <w:r w:rsidRPr="00C72C24">
        <w:rPr>
          <w:rFonts w:ascii="inherit" w:eastAsia="Times New Roman" w:hAnsi="inherit" w:cs="Times New Roman"/>
          <w:b/>
          <w:bCs/>
          <w:sz w:val="28"/>
          <w:szCs w:val="28"/>
          <w:vertAlign w:val="superscript"/>
          <w:lang w:val="uk-UA" w:eastAsia="ru-RU"/>
        </w:rPr>
        <w:t>1</w:t>
      </w:r>
    </w:p>
    <w:p w:rsidR="0034511D" w:rsidRPr="001955D6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Пільги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встановлюються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на 20</w:t>
      </w:r>
      <w:r w:rsidR="00276D94">
        <w:rPr>
          <w:rFonts w:ascii="inherit" w:eastAsia="Times New Roman" w:hAnsi="inherit" w:cs="Times New Roman"/>
          <w:sz w:val="28"/>
          <w:szCs w:val="28"/>
          <w:lang w:val="uk-UA" w:eastAsia="ru-RU"/>
        </w:rPr>
        <w:t>20</w:t>
      </w:r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рік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та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вводяться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дію</w:t>
      </w:r>
      <w:proofErr w:type="spellEnd"/>
      <w:r w:rsidR="00276D94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</w:t>
      </w:r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з 01.01. 20</w:t>
      </w:r>
      <w:r w:rsidR="00276D94">
        <w:rPr>
          <w:rFonts w:ascii="inherit" w:eastAsia="Times New Roman" w:hAnsi="inherit" w:cs="Times New Roman"/>
          <w:sz w:val="28"/>
          <w:szCs w:val="28"/>
          <w:lang w:val="uk-UA" w:eastAsia="ru-RU"/>
        </w:rPr>
        <w:t>20</w:t>
      </w:r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року.</w:t>
      </w:r>
    </w:p>
    <w:p w:rsidR="0034511D" w:rsidRPr="001955D6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Адміністративно-територіальні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одиниці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або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населені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пункти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або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території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об’єднаних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територіальних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громад, на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які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поширюється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дія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рішення</w:t>
      </w:r>
      <w:proofErr w:type="spellEnd"/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ради:</w:t>
      </w:r>
    </w:p>
    <w:p w:rsidR="0034511D" w:rsidRPr="001955D6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955D6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151"/>
        <w:gridCol w:w="2502"/>
        <w:gridCol w:w="2863"/>
      </w:tblGrid>
      <w:tr w:rsidR="0034511D" w:rsidRPr="0034511D" w:rsidTr="0034511D">
        <w:tc>
          <w:tcPr>
            <w:tcW w:w="12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області</w:t>
            </w: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0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району</w:t>
            </w: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400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КОАТУУ</w:t>
            </w: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7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34511D" w:rsidRPr="0034511D" w:rsidTr="0034511D">
        <w:tc>
          <w:tcPr>
            <w:tcW w:w="12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2123282000</w:t>
            </w:r>
          </w:p>
        </w:tc>
        <w:tc>
          <w:tcPr>
            <w:tcW w:w="37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99750C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Руськокомарівська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сільська</w:t>
            </w:r>
            <w:proofErr w:type="spellEnd"/>
            <w:r w:rsidR="0034511D"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рада</w:t>
            </w:r>
          </w:p>
        </w:tc>
      </w:tr>
    </w:tbl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2645"/>
      </w:tblGrid>
      <w:tr w:rsidR="0034511D" w:rsidRPr="0034511D" w:rsidTr="0034511D">
        <w:tc>
          <w:tcPr>
            <w:tcW w:w="35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споруд</w:t>
            </w:r>
            <w:proofErr w:type="spellEnd"/>
          </w:p>
        </w:tc>
        <w:tc>
          <w:tcPr>
            <w:tcW w:w="14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пільги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511D" w:rsidRPr="0034511D" w:rsidTr="0034511D">
        <w:tc>
          <w:tcPr>
            <w:tcW w:w="35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нерухомості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 тому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АТО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11D" w:rsidRPr="0034511D" w:rsidTr="0034511D">
        <w:tc>
          <w:tcPr>
            <w:tcW w:w="35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нежитлової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нерухомості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інвалідів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34511D" w:rsidRPr="0034511D" w:rsidRDefault="0034511D" w:rsidP="00F7142C">
            <w:pPr>
              <w:spacing w:after="225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11D" w:rsidRPr="0034511D" w:rsidTr="0034511D">
        <w:tc>
          <w:tcPr>
            <w:tcW w:w="35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нерухомості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 тому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фізичним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особам,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виховують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18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років</w:t>
            </w:r>
            <w:proofErr w:type="spellEnd"/>
          </w:p>
          <w:p w:rsidR="00276D94" w:rsidRDefault="00276D94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76D94" w:rsidRDefault="00276D94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76D94" w:rsidRDefault="00276D94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B1B85" w:rsidRDefault="002B1B85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76D94" w:rsidRPr="0034511D" w:rsidRDefault="00276D94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4511D" w:rsidRPr="00276D94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276D94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="005E7A72" w:rsidRPr="00276D94">
        <w:rPr>
          <w:rFonts w:ascii="inherit" w:eastAsia="Times New Roman" w:hAnsi="inherit" w:cs="Times New Roman"/>
          <w:sz w:val="28"/>
          <w:szCs w:val="28"/>
          <w:lang w:val="uk-UA" w:eastAsia="ru-RU"/>
        </w:rPr>
        <w:t>Сільський голова                                                   В</w:t>
      </w:r>
      <w:r w:rsidR="007050E1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італій </w:t>
      </w:r>
      <w:r w:rsidR="005E7A72" w:rsidRPr="00276D94">
        <w:rPr>
          <w:rFonts w:ascii="inherit" w:eastAsia="Times New Roman" w:hAnsi="inherit" w:cs="Times New Roman"/>
          <w:sz w:val="28"/>
          <w:szCs w:val="28"/>
          <w:lang w:val="uk-UA" w:eastAsia="ru-RU"/>
        </w:rPr>
        <w:t>Б</w:t>
      </w:r>
      <w:r w:rsidR="007050E1">
        <w:rPr>
          <w:rFonts w:ascii="inherit" w:eastAsia="Times New Roman" w:hAnsi="inherit" w:cs="Times New Roman"/>
          <w:sz w:val="28"/>
          <w:szCs w:val="28"/>
          <w:lang w:val="uk-UA" w:eastAsia="ru-RU"/>
        </w:rPr>
        <w:t>ІЛАК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АНАЛІЗ РЕГУЛЯТОРНОГО ВПЛИВУ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до</w:t>
      </w: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проекту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ради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Перечинського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району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Закарпатської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області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«Про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території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сільської</w:t>
      </w:r>
      <w:proofErr w:type="spellEnd"/>
      <w:proofErr w:type="gram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ради»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Проект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розроблений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згідно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вимогами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Закону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засади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регуляторної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політики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сфері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діяльності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», Методики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проведення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впливу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акта,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Постановою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Кабінету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Міністрів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11.03.2004 р. № 308.</w:t>
      </w:r>
    </w:p>
    <w:p w:rsidR="0034511D" w:rsidRPr="0034511D" w:rsidRDefault="0034511D" w:rsidP="0034511D">
      <w:pPr>
        <w:numPr>
          <w:ilvl w:val="0"/>
          <w:numId w:val="4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проблеми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Необхідність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території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перегляд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розміру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виникла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наступних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причин: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внесення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Законом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07.12.2017 № 2245-VIII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внесення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деяких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законодавчих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збалансованості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бюджетних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2018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році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статей 266, 284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контролюючому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інформації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ставки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за формою,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постановою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Кабінету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Міністрів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– 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постановою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Кабінету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Міністрів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24.05.2017 №483 форм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типових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диференціювання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ставки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видам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цільового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призначення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земель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Класифікацією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видів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цільового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призначення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земель,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наказом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Держкомзему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23.07.2010 №548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по видам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будівель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споруд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класифікатором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будівель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споруд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ДК 018-2000,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наказом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Держстандарту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17.08.2000 № 507;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населених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пунктів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ради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додатковим</w:t>
      </w:r>
      <w:proofErr w:type="spellEnd"/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фінансовим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ресурсом;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виконання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радою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підпункту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10.2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статті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10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обов’язкового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єдиного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частині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плати за землю);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прозорості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доступності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вищезазначених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проблем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потребує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правового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врегулювання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буде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оптимальний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рівень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видам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цільового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призначення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земель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Класифікацією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видів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цільового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призначення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земель,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наказом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Держкомзему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23.07.2010 № 548,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по видам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будівель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споруд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класифікатором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будівель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споруд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ДК 018-2000,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наказом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Держстандарту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17.08.2000 р. № 507.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Важливість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полягає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тому,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сприятиме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збільшенню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дохідної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частини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бюджету, 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також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необхідності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викладення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Положень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урахуванням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Відсутність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призведе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невиконання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чинного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Визначена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проблема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бути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розв’язана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допомогою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ринкових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механізмів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зв’язку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делегуванням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повноважень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сільській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раді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тому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потребує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numPr>
          <w:ilvl w:val="0"/>
          <w:numId w:val="5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lastRenderedPageBreak/>
        <w:t>Цілі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державного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регулювання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виконання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прозорості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доступності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оптимальних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призведуть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збільшення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навантаження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зростання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боргу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бюджету,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збереже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сприятливі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умови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економічного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розвитку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додаткових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призведе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зменшення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навантаження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фізичних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осіб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їх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звільнення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оподаткування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зменшить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загальні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бюджетні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витрати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адміністрування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отримання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фінансового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ресурсу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збільшення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фактичних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III.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альтернативних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способів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цілей</w:t>
      </w:r>
      <w:proofErr w:type="spellEnd"/>
    </w:p>
    <w:p w:rsidR="0034511D" w:rsidRPr="0034511D" w:rsidRDefault="0034511D" w:rsidP="0034511D">
      <w:pPr>
        <w:numPr>
          <w:ilvl w:val="0"/>
          <w:numId w:val="6"/>
        </w:numPr>
        <w:spacing w:after="15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альтернативних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способів</w:t>
      </w:r>
      <w:proofErr w:type="spellEnd"/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5347"/>
      </w:tblGrid>
      <w:tr w:rsidR="0034511D" w:rsidRPr="0034511D" w:rsidTr="0034511D">
        <w:tc>
          <w:tcPr>
            <w:tcW w:w="2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6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</w:tr>
      <w:tr w:rsidR="0034511D" w:rsidRPr="0034511D" w:rsidTr="0034511D">
        <w:tc>
          <w:tcPr>
            <w:tcW w:w="2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Альтернатива 1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запропонованого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6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найбільш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прийнятним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повною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мірою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511D" w:rsidRPr="0034511D" w:rsidTr="0034511D">
        <w:tc>
          <w:tcPr>
            <w:tcW w:w="2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2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запропонованого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6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прийнятним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Ставки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залишаються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існуючому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оскільки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Новоселицької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27 червня 2017 року № 66 є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чинним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безстроковий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характер. Про те,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виникнути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непорозуміння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Новоселицькою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сільською</w:t>
            </w:r>
            <w:proofErr w:type="spellEnd"/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радою,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контролюючими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органами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платниками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пільг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511D" w:rsidRPr="0034511D" w:rsidTr="0034511D">
        <w:tc>
          <w:tcPr>
            <w:tcW w:w="2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3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мінімальних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ставок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дорівнює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0)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Альтернатива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неприйнятна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Наслідком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недоотримання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бюджету 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обмежить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першочергових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тенденцію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Негативний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завдано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територіальній</w:t>
            </w:r>
            <w:proofErr w:type="spellEnd"/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громаді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Новоселицької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оскільки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бюджету</w:t>
            </w:r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ставить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загрозу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соціально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важливих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єдиним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наповненням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бюджету.</w:t>
            </w:r>
          </w:p>
        </w:tc>
      </w:tr>
    </w:tbl>
    <w:p w:rsidR="0034511D" w:rsidRPr="0034511D" w:rsidRDefault="0034511D" w:rsidP="0034511D">
      <w:pPr>
        <w:numPr>
          <w:ilvl w:val="0"/>
          <w:numId w:val="7"/>
        </w:numPr>
        <w:spacing w:after="15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вибраних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альтернативних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способів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цілей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Оцінка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впливу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сферу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інтересів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держави</w:t>
      </w:r>
      <w:proofErr w:type="spellEnd"/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3130"/>
        <w:gridCol w:w="2492"/>
      </w:tblGrid>
      <w:tr w:rsidR="0034511D" w:rsidRPr="0034511D" w:rsidTr="0034511D">
        <w:tc>
          <w:tcPr>
            <w:tcW w:w="237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37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Вигоди</w:t>
            </w:r>
            <w:proofErr w:type="spellEnd"/>
          </w:p>
        </w:tc>
        <w:tc>
          <w:tcPr>
            <w:tcW w:w="30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</w:tr>
      <w:tr w:rsidR="0034511D" w:rsidRPr="0034511D" w:rsidTr="0034511D">
        <w:tc>
          <w:tcPr>
            <w:tcW w:w="237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7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норм статей 7, 10, 12, 266, 284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контролюючому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ставок земельного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відмінне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за формою,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Кабінетом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 бюджету</w:t>
            </w:r>
            <w:proofErr w:type="gramEnd"/>
          </w:p>
        </w:tc>
        <w:tc>
          <w:tcPr>
            <w:tcW w:w="30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часу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спеціалістів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регуляторного акту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оприлюднення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Перечинської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мінімальними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511D" w:rsidRPr="0034511D" w:rsidTr="0034511D">
        <w:tc>
          <w:tcPr>
            <w:tcW w:w="237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7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Переваги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норм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постанови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24.05.2017 №483 «Про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типових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рішень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ставок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відмінне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</w:p>
        </w:tc>
      </w:tr>
      <w:tr w:rsidR="0034511D" w:rsidRPr="0034511D" w:rsidTr="0034511D">
        <w:tc>
          <w:tcPr>
            <w:tcW w:w="237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37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Переваги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дохідної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30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</w:p>
        </w:tc>
      </w:tr>
    </w:tbl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впливу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сферу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інтересів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громадян</w:t>
      </w:r>
      <w:proofErr w:type="spellEnd"/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402"/>
        <w:gridCol w:w="2855"/>
      </w:tblGrid>
      <w:tr w:rsidR="0034511D" w:rsidRPr="0034511D" w:rsidTr="0034511D">
        <w:tc>
          <w:tcPr>
            <w:tcW w:w="2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2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Вигоди</w:t>
            </w:r>
            <w:proofErr w:type="spellEnd"/>
          </w:p>
        </w:tc>
        <w:tc>
          <w:tcPr>
            <w:tcW w:w="36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</w:tr>
      <w:tr w:rsidR="0034511D" w:rsidRPr="0034511D" w:rsidTr="0034511D">
        <w:tc>
          <w:tcPr>
            <w:tcW w:w="2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2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надходжень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36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Можливе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незначне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</w:p>
        </w:tc>
      </w:tr>
      <w:tr w:rsidR="0034511D" w:rsidRPr="0034511D" w:rsidTr="0034511D">
        <w:tc>
          <w:tcPr>
            <w:tcW w:w="2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2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бюджету</w:t>
            </w:r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ради.</w:t>
            </w:r>
          </w:p>
        </w:tc>
        <w:tc>
          <w:tcPr>
            <w:tcW w:w="36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Можливе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незначне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</w:p>
        </w:tc>
      </w:tr>
      <w:tr w:rsidR="0034511D" w:rsidRPr="0034511D" w:rsidTr="0034511D">
        <w:tc>
          <w:tcPr>
            <w:tcW w:w="2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2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ресурсу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жителів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</w:tr>
    </w:tbl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впливу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сферу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інтересів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суб’єктів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господарювання</w:t>
      </w:r>
      <w:proofErr w:type="spellEnd"/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2853"/>
        <w:gridCol w:w="2596"/>
      </w:tblGrid>
      <w:tr w:rsidR="0034511D" w:rsidRPr="0034511D" w:rsidTr="0034511D">
        <w:tc>
          <w:tcPr>
            <w:tcW w:w="26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3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Вигоди</w:t>
            </w:r>
            <w:proofErr w:type="spellEnd"/>
          </w:p>
        </w:tc>
        <w:tc>
          <w:tcPr>
            <w:tcW w:w="307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</w:tr>
      <w:tr w:rsidR="0034511D" w:rsidRPr="0034511D" w:rsidTr="0034511D">
        <w:tc>
          <w:tcPr>
            <w:tcW w:w="26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Зростання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ради.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призведе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продажу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отже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11D" w:rsidRPr="0034511D" w:rsidTr="0034511D">
        <w:tc>
          <w:tcPr>
            <w:tcW w:w="26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ставок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діють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 2018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Погіршення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511D" w:rsidRPr="0034511D" w:rsidTr="0034511D">
        <w:tc>
          <w:tcPr>
            <w:tcW w:w="26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3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ресурсу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призведе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привабливості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зв’язку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відсутністю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інформації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кількість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розрізі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категорій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суб’єктів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(великих,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середніх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малих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мікро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немає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можливості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визначити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питому вагу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суб’єктів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малого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підприємництва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загальній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кількості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суб’єктів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поширюється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частині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numPr>
          <w:ilvl w:val="0"/>
          <w:numId w:val="8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Вибір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найбільш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оптимального альтернативного способу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цілей</w:t>
      </w:r>
      <w:proofErr w:type="spellEnd"/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428"/>
        <w:gridCol w:w="2750"/>
      </w:tblGrid>
      <w:tr w:rsidR="0034511D" w:rsidRPr="0034511D" w:rsidTr="0034511D">
        <w:tc>
          <w:tcPr>
            <w:tcW w:w="30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Рейтинг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Бал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чотирибальною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системою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Коментарі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бала</w:t>
            </w:r>
          </w:p>
        </w:tc>
      </w:tr>
      <w:tr w:rsidR="0034511D" w:rsidRPr="0034511D" w:rsidTr="0034511D">
        <w:tc>
          <w:tcPr>
            <w:tcW w:w="30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28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Альтернатива дозволить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повністю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досягти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поставлені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цілі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вирішити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розміру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оптимальних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ставок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</w:p>
        </w:tc>
      </w:tr>
      <w:tr w:rsidR="0034511D" w:rsidRPr="0034511D" w:rsidTr="0034511D">
        <w:tc>
          <w:tcPr>
            <w:tcW w:w="30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28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Альтернатива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спричинить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незручності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погіршить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зборів</w:t>
            </w:r>
            <w:proofErr w:type="spellEnd"/>
          </w:p>
        </w:tc>
      </w:tr>
      <w:tr w:rsidR="0034511D" w:rsidRPr="0034511D" w:rsidTr="0034511D">
        <w:tc>
          <w:tcPr>
            <w:tcW w:w="30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28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Альтернатива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призведе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ресурсу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жителів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</w:tr>
    </w:tbl>
    <w:p w:rsidR="0034511D" w:rsidRPr="0034511D" w:rsidRDefault="0034511D" w:rsidP="0034511D">
      <w:pPr>
        <w:numPr>
          <w:ilvl w:val="0"/>
          <w:numId w:val="9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Механізми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та заходи,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забезпечать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розв’язання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визначеної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проблеми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цілей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цьому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випадку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відбувається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спосіб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підготовки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проекту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території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ради».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Представлений проект регуляторного акту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забезпечує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додержання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принципів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принципам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регуляторної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політики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: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доцільності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адекватності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ефективності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прозорості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передбачуваності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впровадження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цього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необхідно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забезпечити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інформування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громади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населених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пунктів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його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оприлюднення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офіційному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сайті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Перечинської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районної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perechin-rada.gov.ua та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інформаційному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стенді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приміщенні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ради.</w:t>
      </w:r>
    </w:p>
    <w:p w:rsidR="0034511D" w:rsidRPr="0034511D" w:rsidRDefault="0034511D" w:rsidP="0034511D">
      <w:pPr>
        <w:numPr>
          <w:ilvl w:val="0"/>
          <w:numId w:val="10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виконання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залежно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ресурсів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якими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розпоряджаються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органи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виконавчої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влади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чи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органи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фізичні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юридичні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особи,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повинні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проваджувати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виконувати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ці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вимоги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контроль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правильності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повноти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своєчасності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нарахування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зобов’язань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податках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зборах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здійснюють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органи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фіскальної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служби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Додаткові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витрати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впровадження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акта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потребуються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VII.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строку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регуляторного акта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разі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радою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будуть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реалізовані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повноваження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передбачені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Законом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забезпечена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прозорість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політики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сфері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оподаткування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прогнозованість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подальшої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діяльності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суб’єктів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Найбільш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значний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зовнішніх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факторів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можливий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виникненні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чинному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цьому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випадку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невідповідність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його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положень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нормам,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встановлюються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правовим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вищої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юридичної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сили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Зазначена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обставина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негативно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виконання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акту,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проте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бути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подолана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внесення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коригувань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нього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довгостроково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внесення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правових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VIII.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показників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регуляторного акта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Показники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безпосередньо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характеризують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акта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підлягають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контролю (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обсяг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пов’язаних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дією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акту;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кількість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поширюється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акту;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сума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оподаткування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рівень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поінформованості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numPr>
          <w:ilvl w:val="0"/>
          <w:numId w:val="11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заходів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, за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допомогою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здійснюватиметься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акта: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буде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здійснюватись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допомогою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ефективності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буде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здійснена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підсумками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проведення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базового, повторного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періодичного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разі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виявлення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неврегульованих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проблемних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питань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внаслідок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проведення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показників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цього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акту,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їх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буде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врегульовано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внесення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голова                                                                              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М.Ю.Пайдич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АНАЛІЗ РЕГУЛЯТОРНОГО ВПЛИВУ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 проекту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 ради</w:t>
      </w:r>
      <w:proofErr w:type="gram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Перечинського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району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Закарпатської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області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«Про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2019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Цей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впливу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розроблений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чинного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зокрема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Закону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», Закону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засади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регуляторної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політики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сфері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діяльності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», Закону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запобігання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корупції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урахуванням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методики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проведення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впливу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1.Визначення та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аналіз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яку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передбачається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розв’язати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шляхом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регуляторного акту.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Податок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згідно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Податок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податок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сплачується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платниками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об’єкти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житлової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зараховується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зв’язку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потребою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виникла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необхідність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розробці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сесії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ради проекту</w:t>
      </w:r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метою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регламентування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відносин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платниками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фізичними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юридичними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особами),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знаходяться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території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Дане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питання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бути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вирішене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допомогою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ринкових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механізмів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оскільки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Законом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визначено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виключної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компетенції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органів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належить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Проектом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2019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затверджуються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ставки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встановлюються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фізичних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юридичних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осіб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numPr>
          <w:ilvl w:val="0"/>
          <w:numId w:val="12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Цілі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регулювання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Цілями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є: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Дотримання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частині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Отримання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обсягу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Відкритість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процедури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прозорість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вирішенні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питань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пов’язаних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справлянням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numPr>
          <w:ilvl w:val="0"/>
          <w:numId w:val="13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альтернативних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способів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встановленої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мети.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Альтернатива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відсутня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Згідно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податок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є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обов’язковим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радою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можливість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вирішити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визначені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оскільки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проект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 ради</w:t>
      </w:r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2019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повністю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нормам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numPr>
          <w:ilvl w:val="0"/>
          <w:numId w:val="14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Механізм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та заходи,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пропонуються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розв’язання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розв’язання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пропонується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застосувати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наступний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механізм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заходи: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ставки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житлової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перебуває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власності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фізичних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юридичних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осіб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ставки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нежитлової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перебуває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власності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фізичних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юридичних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осіб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оприлюднення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засобах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масової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інформації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офіційному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веб-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сайті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Перечинської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районної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numPr>
          <w:ilvl w:val="0"/>
          <w:numId w:val="15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Можливість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визначених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цілей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разі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Можливість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мети,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передбаченої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розділі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проекту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2019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є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цілком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реальною,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оскільки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проекту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можливість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стабільного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коштів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 </w:t>
      </w:r>
      <w:proofErr w:type="spellStart"/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збільшити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обсяги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забезпечення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фінансування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повноважень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органів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Позитивними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факторами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будуть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додаткові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 бюджету</w:t>
      </w:r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планування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прогнозування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формуванні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numPr>
          <w:ilvl w:val="0"/>
          <w:numId w:val="16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Очікувані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результати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Нижче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наведена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таблиця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очікуваними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результатами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2019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»</w:t>
      </w:r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3305"/>
        <w:gridCol w:w="2626"/>
      </w:tblGrid>
      <w:tr w:rsidR="0034511D" w:rsidRPr="0034511D" w:rsidTr="0034511D">
        <w:tc>
          <w:tcPr>
            <w:tcW w:w="237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рада</w:t>
            </w:r>
          </w:p>
        </w:tc>
        <w:tc>
          <w:tcPr>
            <w:tcW w:w="400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норм чинного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бюджету;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покладених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регуляторного акту</w:t>
            </w:r>
          </w:p>
        </w:tc>
      </w:tr>
      <w:tr w:rsidR="0034511D" w:rsidRPr="0034511D" w:rsidTr="0034511D">
        <w:tc>
          <w:tcPr>
            <w:tcW w:w="237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особи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громадяни</w:t>
            </w:r>
            <w:proofErr w:type="spellEnd"/>
          </w:p>
        </w:tc>
        <w:tc>
          <w:tcPr>
            <w:tcW w:w="400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Прозорий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механізм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справляння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відмінне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проблем,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Новоселицької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 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доходу 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сільський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31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відмінне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збільшенням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доходу у </w:t>
            </w:r>
            <w:proofErr w:type="spellStart"/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сільський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 бюджет</w:t>
            </w:r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numPr>
          <w:ilvl w:val="0"/>
          <w:numId w:val="17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Строк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Строк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2019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довгостроково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внесення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правових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8.Показники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регуляторного акта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кількість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; – сума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рівень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поінформованості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основними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положеннями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акту.</w:t>
      </w:r>
    </w:p>
    <w:p w:rsidR="0034511D" w:rsidRPr="0034511D" w:rsidRDefault="0034511D" w:rsidP="0034511D">
      <w:pPr>
        <w:numPr>
          <w:ilvl w:val="0"/>
          <w:numId w:val="18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Заходи за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допомогою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буде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здійснюватися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буде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здійснюватися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ст. 10 Закону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засади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регуляторної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політики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сфері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діяльності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застосування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базового та повторного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Базове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буде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здійснено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набрання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чинності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Повторне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– через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дня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набрання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чинності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але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пізніше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двох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дня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набрання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чинності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акту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                   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М.Ю.Пайдич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АНАЛІЗ  РЕГУЛЯТОРНОГО</w:t>
      </w:r>
      <w:proofErr w:type="gram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ВПЛИВУ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 проекту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сільської</w:t>
      </w:r>
      <w:proofErr w:type="spellEnd"/>
      <w:proofErr w:type="gram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ради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Перечинського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району 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Закарпатської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області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  2019</w:t>
      </w:r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»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розроблений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виконання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дотримання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Закону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засади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регуляторної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політики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сфері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діяльності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та Методики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проведення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впливу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акта,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Постановою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Кабінету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Міністрів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11.03.2004р.№308 (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надалі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1.Визначення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кодексами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використання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землі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є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Згідно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повноваження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відносяться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виключної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компетенції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сесії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ставка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нормативну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грошову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проведено,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розмірі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більше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3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відсотків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їх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нормативної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грошової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 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угідь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менше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0,3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відсотка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більше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5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відсотків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їх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нормативної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грошової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Ставка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розмірі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більше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12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відсотків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їх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нормативної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грошової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перебувають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постійному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користуванні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суб’єктів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крім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комунальної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форм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власності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). Базою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оподаткування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є нормативна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грошова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ділянок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урахуванням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коефіцієнта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індексації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Проблема, яку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передбачається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розв’язати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вказаного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приведення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плати за землю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території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чинного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Розв’язання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допомогою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ринкового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механізму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неможливе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оскільки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чинне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чітко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регламентує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органи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встановлюють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розмір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плати за землю.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Впровадження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є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доцільним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зв’язку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інших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альтернатив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розв’язання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існує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Даний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регуляторний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спрямований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чітко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спрямованої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мети 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приведення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плати за землю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Постанови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Кабінету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Міністрів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24.05.2017р.№483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форм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типових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земельного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залучення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додаткових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коштів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 бюджету</w:t>
      </w:r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поширюється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усіх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землекористувачів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землевласників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: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територіальну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громаду,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суб’єктів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державні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органи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органи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9"/>
        <w:gridCol w:w="975"/>
        <w:gridCol w:w="801"/>
      </w:tblGrid>
      <w:tr w:rsidR="0034511D" w:rsidRPr="0034511D" w:rsidTr="0034511D">
        <w:tc>
          <w:tcPr>
            <w:tcW w:w="73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                               </w:t>
            </w:r>
            <w:proofErr w:type="spellStart"/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Групи</w:t>
            </w:r>
            <w:proofErr w:type="spellEnd"/>
          </w:p>
        </w:tc>
        <w:tc>
          <w:tcPr>
            <w:tcW w:w="1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Так</w:t>
            </w:r>
          </w:p>
        </w:tc>
        <w:tc>
          <w:tcPr>
            <w:tcW w:w="9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Ні</w:t>
            </w:r>
            <w:proofErr w:type="spellEnd"/>
          </w:p>
        </w:tc>
      </w:tr>
      <w:tr w:rsidR="0034511D" w:rsidRPr="0034511D" w:rsidTr="0034511D">
        <w:tc>
          <w:tcPr>
            <w:tcW w:w="73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Громадяни</w:t>
            </w:r>
            <w:proofErr w:type="spellEnd"/>
          </w:p>
        </w:tc>
        <w:tc>
          <w:tcPr>
            <w:tcW w:w="1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4511D" w:rsidRPr="0034511D" w:rsidTr="0034511D">
        <w:tc>
          <w:tcPr>
            <w:tcW w:w="73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4511D" w:rsidRPr="0034511D" w:rsidTr="0034511D">
        <w:tc>
          <w:tcPr>
            <w:tcW w:w="73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Суб’єкти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11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34511D" w:rsidRPr="0034511D" w:rsidRDefault="0034511D" w:rsidP="0034511D">
      <w:pPr>
        <w:numPr>
          <w:ilvl w:val="0"/>
          <w:numId w:val="19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2. 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цілей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регулювання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Метою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є:</w:t>
      </w:r>
    </w:p>
    <w:p w:rsidR="0034511D" w:rsidRPr="0034511D" w:rsidRDefault="0034511D" w:rsidP="0034511D">
      <w:pPr>
        <w:numPr>
          <w:ilvl w:val="0"/>
          <w:numId w:val="20"/>
        </w:numPr>
        <w:spacing w:after="15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створення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єдиного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механізму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справляння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плати за землю;</w:t>
      </w:r>
    </w:p>
    <w:p w:rsidR="0034511D" w:rsidRPr="0034511D" w:rsidRDefault="0034511D" w:rsidP="0034511D">
      <w:pPr>
        <w:numPr>
          <w:ilvl w:val="0"/>
          <w:numId w:val="20"/>
        </w:numPr>
        <w:spacing w:after="15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вдосконалення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земельних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відносин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основі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ставок плати за землю та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диференціації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ставок в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залежності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цільового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призначення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numPr>
          <w:ilvl w:val="0"/>
          <w:numId w:val="20"/>
        </w:numPr>
        <w:spacing w:after="15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забезпечення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більш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повного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обліку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земель,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їх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власників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користувачів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раціонального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ефективного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використання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земельних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ділянок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numPr>
          <w:ilvl w:val="0"/>
          <w:numId w:val="20"/>
        </w:numPr>
        <w:spacing w:after="15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збільшення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бюджету за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рахунок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перегляду ставок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за землю та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направлення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додаткових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коштів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соціальний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розвиток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населених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пунктів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ради.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3.Визначення та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усіх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альтернативних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способів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встановлених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цілей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3.1.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альтернативних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способів</w:t>
      </w:r>
      <w:proofErr w:type="spellEnd"/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5243"/>
      </w:tblGrid>
      <w:tr w:rsidR="0034511D" w:rsidRPr="0034511D" w:rsidTr="0034511D">
        <w:tc>
          <w:tcPr>
            <w:tcW w:w="26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Вид </w:t>
            </w:r>
            <w:proofErr w:type="spellStart"/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альтернати</w:t>
            </w:r>
            <w:proofErr w:type="spellEnd"/>
          </w:p>
        </w:tc>
        <w:tc>
          <w:tcPr>
            <w:tcW w:w="691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Опис</w:t>
            </w:r>
            <w:proofErr w:type="spellEnd"/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альтернативи</w:t>
            </w:r>
            <w:proofErr w:type="spellEnd"/>
          </w:p>
        </w:tc>
      </w:tr>
      <w:tr w:rsidR="0034511D" w:rsidRPr="0034511D" w:rsidTr="0034511D">
        <w:tc>
          <w:tcPr>
            <w:tcW w:w="26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1.Збереження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існуючого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стану</w:t>
            </w:r>
          </w:p>
        </w:tc>
        <w:tc>
          <w:tcPr>
            <w:tcW w:w="691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існуючого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порядку (ставок)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узагальненому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порядку за формами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без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34511D" w:rsidRPr="0034511D" w:rsidTr="0034511D">
        <w:tc>
          <w:tcPr>
            <w:tcW w:w="26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2.Врегулювання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ринкових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механізмів</w:t>
            </w:r>
            <w:proofErr w:type="spellEnd"/>
          </w:p>
        </w:tc>
        <w:tc>
          <w:tcPr>
            <w:tcW w:w="691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Дана проблема не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вирішена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ринкових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механізмів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оскільки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належить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</w:tr>
      <w:tr w:rsidR="0034511D" w:rsidRPr="0034511D" w:rsidTr="0034511D">
        <w:tc>
          <w:tcPr>
            <w:tcW w:w="26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3.Прийняття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запропонованого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</w:p>
        </w:tc>
        <w:tc>
          <w:tcPr>
            <w:tcW w:w="691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Забезпечить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Дана альтернатива є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найбільш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оптимальною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прийнятною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Перевага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способу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полягає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тому,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даним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регуляторним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актом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більш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розширено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конкретизовано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ставки земельного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ділянок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пільг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конкретними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групами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категорією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цільовим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ділянок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3.</w:t>
      </w:r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2.Оцінки</w:t>
      </w:r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вибраних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альтернативних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способів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цілей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Оцінюючи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визначені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альтернативи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слід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зазначити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перша альтернатива не є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прийнятною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оскільки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вона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веде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відмови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поставлених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цілей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збільшенню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фінансування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соціально-економічного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розвитку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населених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пунктів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Новоселицької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ради.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разі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самоврядування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передбачених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пунктом 10.3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статті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10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такі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сплачуються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платниками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 порядку</w:t>
      </w:r>
      <w:proofErr w:type="gram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встановленому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Податковим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мінімальними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ставками.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радою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можливість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вирішити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визначені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дотриманні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норм чинного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в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найбільш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короткий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термін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найменшими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витратами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numPr>
          <w:ilvl w:val="0"/>
          <w:numId w:val="21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Вибір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найбільш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оптимального альтернативного способу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досягнення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цілей</w:t>
      </w:r>
      <w:proofErr w:type="spellEnd"/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Для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реалізації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обрано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альтернативу 3 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економічно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обгрунтованих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розмірів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щоб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суб’єкти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господарювання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могли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сплачувати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податок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 бюджет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наповнювався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Задекларовані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будуть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досягнуті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повною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мірою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;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вимогам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чинного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приводить ставки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земельного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відповідність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враховано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урядові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рекомендації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викладені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Постанові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Кабінету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Міністрів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24.05.2017р.№483 «Про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затвердження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форм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типових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встановлення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пільг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земельного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відмінне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земельної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ділянки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».</w:t>
      </w:r>
    </w:p>
    <w:p w:rsidR="0034511D" w:rsidRPr="0034511D" w:rsidRDefault="0034511D" w:rsidP="0034511D">
      <w:pPr>
        <w:numPr>
          <w:ilvl w:val="0"/>
          <w:numId w:val="22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Механізми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та заходи,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забезпечать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розв’язання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визначеної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проблеми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 шляхом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Реалізація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регулювання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шляхом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впровадження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наступних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заходів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34511D" w:rsidRPr="0034511D" w:rsidRDefault="0034511D" w:rsidP="0034511D">
      <w:pPr>
        <w:numPr>
          <w:ilvl w:val="0"/>
          <w:numId w:val="23"/>
        </w:numPr>
        <w:spacing w:after="15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нормативного документу,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який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в рамках чинного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законодавства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дає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можливість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удосконалювати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зробити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прозорим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порядок та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механізм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плати за землю з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урахуванням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цільового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призначення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земельних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ділянок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;</w:t>
      </w:r>
    </w:p>
    <w:p w:rsidR="0034511D" w:rsidRPr="0034511D" w:rsidRDefault="0034511D" w:rsidP="0034511D">
      <w:pPr>
        <w:numPr>
          <w:ilvl w:val="0"/>
          <w:numId w:val="23"/>
        </w:numPr>
        <w:spacing w:after="15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забезпечення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прозорості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і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вільного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доступу до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інформації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щодо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розміру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земельного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податку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використання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земельних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ділянок</w:t>
      </w:r>
      <w:proofErr w:type="spellEnd"/>
      <w:r w:rsidRPr="0034511D"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numPr>
          <w:ilvl w:val="0"/>
          <w:numId w:val="24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очікуваних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результатів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прийняття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має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бути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досягнуто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цілей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передбачених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розділі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цього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tbl>
      <w:tblPr>
        <w:tblW w:w="7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3051"/>
        <w:gridCol w:w="2366"/>
      </w:tblGrid>
      <w:tr w:rsidR="0034511D" w:rsidRPr="0034511D" w:rsidTr="0034511D">
        <w:tc>
          <w:tcPr>
            <w:tcW w:w="2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Вигоди</w:t>
            </w:r>
            <w:proofErr w:type="spellEnd"/>
          </w:p>
        </w:tc>
        <w:tc>
          <w:tcPr>
            <w:tcW w:w="31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</w:tr>
      <w:tr w:rsidR="0034511D" w:rsidRPr="0034511D" w:rsidTr="0034511D">
        <w:tc>
          <w:tcPr>
            <w:tcW w:w="2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8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раціонального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ефективного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ділянок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наповнення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бюджету та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1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відсутні</w:t>
            </w:r>
            <w:proofErr w:type="spellEnd"/>
          </w:p>
        </w:tc>
      </w:tr>
      <w:tr w:rsidR="0034511D" w:rsidRPr="0034511D" w:rsidTr="0034511D">
        <w:tc>
          <w:tcPr>
            <w:tcW w:w="2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Суб’єкти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38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чіткої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ставок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землю;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передбачуваність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</w:t>
            </w:r>
          </w:p>
          <w:p w:rsidR="0034511D" w:rsidRPr="0034511D" w:rsidRDefault="0034511D" w:rsidP="0034511D">
            <w:pPr>
              <w:spacing w:after="22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прогнозування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зумовлених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31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землю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бюджету</w:t>
            </w:r>
          </w:p>
        </w:tc>
      </w:tr>
      <w:tr w:rsidR="0034511D" w:rsidRPr="0034511D" w:rsidTr="0034511D">
        <w:tc>
          <w:tcPr>
            <w:tcW w:w="2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Громада</w:t>
            </w:r>
          </w:p>
        </w:tc>
        <w:tc>
          <w:tcPr>
            <w:tcW w:w="38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бюджету</w:t>
            </w:r>
            <w:proofErr w:type="gram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спрямовуються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1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11D" w:rsidRPr="0034511D" w:rsidRDefault="0034511D" w:rsidP="003451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сплатою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землю до </w:t>
            </w:r>
            <w:proofErr w:type="spellStart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3451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бюджету</w:t>
            </w:r>
          </w:p>
        </w:tc>
      </w:tr>
    </w:tbl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34511D" w:rsidRPr="0034511D" w:rsidRDefault="0034511D" w:rsidP="0034511D">
      <w:pPr>
        <w:numPr>
          <w:ilvl w:val="0"/>
          <w:numId w:val="25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строку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регуляторного акта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Відповідно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вимог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Податкового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строк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рішення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рік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numPr>
          <w:ilvl w:val="0"/>
          <w:numId w:val="26"/>
        </w:numPr>
        <w:spacing w:after="0" w:line="240" w:lineRule="auto"/>
        <w:ind w:left="529"/>
        <w:textAlignment w:val="baseline"/>
        <w:rPr>
          <w:rFonts w:ascii="inherit" w:eastAsia="Times New Roman" w:hAnsi="inherit" w:cs="Times New Roman"/>
          <w:color w:val="737E86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показників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34511D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ru-RU"/>
        </w:rPr>
        <w:t xml:space="preserve"> результативного акту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Показниками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акта є: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1.Розмір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бюджету,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пов’язаних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дією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акта.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2.Кількість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об’єктів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на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яких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поширюється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дія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акта.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3.Рівень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поінформованості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платників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місцевих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податків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зборів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4511D" w:rsidRPr="0034511D" w:rsidRDefault="0034511D" w:rsidP="0034511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9.Заходи за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допомогою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буде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здійснюватися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регуляторного акту.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буде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здійснюватись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допомогою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аналізу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надходжень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місцевого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бюджету плати за землю.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Оцінка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ефективності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запропонованого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 буде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здійснена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підсумками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проведення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базового, повторного та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періодичного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відстеження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результативності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регуляторного акту.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34511D" w:rsidRPr="0034511D" w:rsidRDefault="0034511D" w:rsidP="0034511D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Сільський</w:t>
      </w:r>
      <w:proofErr w:type="spellEnd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голова                                                  </w:t>
      </w:r>
      <w:proofErr w:type="spellStart"/>
      <w:r w:rsidRPr="0034511D">
        <w:rPr>
          <w:rFonts w:ascii="inherit" w:eastAsia="Times New Roman" w:hAnsi="inherit" w:cs="Times New Roman"/>
          <w:sz w:val="24"/>
          <w:szCs w:val="24"/>
          <w:lang w:eastAsia="ru-RU"/>
        </w:rPr>
        <w:t>М.Ю.Пайдич</w:t>
      </w:r>
      <w:proofErr w:type="spellEnd"/>
    </w:p>
    <w:p w:rsidR="00BD2BAA" w:rsidRPr="0034511D" w:rsidRDefault="00BD2BAA" w:rsidP="00E826F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sectPr w:rsidR="00BD2BAA" w:rsidRPr="0034511D" w:rsidSect="00F7142C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B7" w:rsidRDefault="005550B7" w:rsidP="00884398">
      <w:pPr>
        <w:spacing w:after="0" w:line="240" w:lineRule="auto"/>
      </w:pPr>
      <w:r>
        <w:separator/>
      </w:r>
    </w:p>
  </w:endnote>
  <w:endnote w:type="continuationSeparator" w:id="0">
    <w:p w:rsidR="005550B7" w:rsidRDefault="005550B7" w:rsidP="0088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B7" w:rsidRDefault="005550B7" w:rsidP="00884398">
      <w:pPr>
        <w:spacing w:after="0" w:line="240" w:lineRule="auto"/>
      </w:pPr>
      <w:r>
        <w:separator/>
      </w:r>
    </w:p>
  </w:footnote>
  <w:footnote w:type="continuationSeparator" w:id="0">
    <w:p w:rsidR="005550B7" w:rsidRDefault="005550B7" w:rsidP="0088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F1F"/>
    <w:multiLevelType w:val="multilevel"/>
    <w:tmpl w:val="2A0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84CEA"/>
    <w:multiLevelType w:val="multilevel"/>
    <w:tmpl w:val="C1CA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F4B47"/>
    <w:multiLevelType w:val="multilevel"/>
    <w:tmpl w:val="67DA7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D1C35"/>
    <w:multiLevelType w:val="multilevel"/>
    <w:tmpl w:val="9560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920CC"/>
    <w:multiLevelType w:val="multilevel"/>
    <w:tmpl w:val="B136F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D0E86"/>
    <w:multiLevelType w:val="multilevel"/>
    <w:tmpl w:val="BE38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A468F6"/>
    <w:multiLevelType w:val="multilevel"/>
    <w:tmpl w:val="C7A8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9679F"/>
    <w:multiLevelType w:val="multilevel"/>
    <w:tmpl w:val="1652A9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631CB"/>
    <w:multiLevelType w:val="multilevel"/>
    <w:tmpl w:val="CF58EB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437A0"/>
    <w:multiLevelType w:val="multilevel"/>
    <w:tmpl w:val="4D06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67BA8"/>
    <w:multiLevelType w:val="multilevel"/>
    <w:tmpl w:val="7408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C37FD"/>
    <w:multiLevelType w:val="multilevel"/>
    <w:tmpl w:val="63C8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B5D07"/>
    <w:multiLevelType w:val="multilevel"/>
    <w:tmpl w:val="420C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066B1"/>
    <w:multiLevelType w:val="multilevel"/>
    <w:tmpl w:val="BA90B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802F6"/>
    <w:multiLevelType w:val="multilevel"/>
    <w:tmpl w:val="8E3E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F7193"/>
    <w:multiLevelType w:val="multilevel"/>
    <w:tmpl w:val="AFE80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C761F"/>
    <w:multiLevelType w:val="multilevel"/>
    <w:tmpl w:val="8A0082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376B3"/>
    <w:multiLevelType w:val="hybridMultilevel"/>
    <w:tmpl w:val="69B6C13A"/>
    <w:lvl w:ilvl="0" w:tplc="8102BAB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8" w15:restartNumberingAfterBreak="0">
    <w:nsid w:val="51C3611D"/>
    <w:multiLevelType w:val="multilevel"/>
    <w:tmpl w:val="BE3C8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A1C8C"/>
    <w:multiLevelType w:val="multilevel"/>
    <w:tmpl w:val="A42E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81D"/>
    <w:multiLevelType w:val="multilevel"/>
    <w:tmpl w:val="BC664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C20B8"/>
    <w:multiLevelType w:val="multilevel"/>
    <w:tmpl w:val="DED2A9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10BDA"/>
    <w:multiLevelType w:val="multilevel"/>
    <w:tmpl w:val="A2F64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951BEB"/>
    <w:multiLevelType w:val="multilevel"/>
    <w:tmpl w:val="8E082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C5BD9"/>
    <w:multiLevelType w:val="multilevel"/>
    <w:tmpl w:val="AF3AE0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512BA"/>
    <w:multiLevelType w:val="multilevel"/>
    <w:tmpl w:val="37A4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D7D3E"/>
    <w:multiLevelType w:val="multilevel"/>
    <w:tmpl w:val="0B38A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77B05"/>
    <w:multiLevelType w:val="multilevel"/>
    <w:tmpl w:val="6F045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25"/>
  </w:num>
  <w:num w:numId="7">
    <w:abstractNumId w:val="15"/>
  </w:num>
  <w:num w:numId="8">
    <w:abstractNumId w:val="14"/>
  </w:num>
  <w:num w:numId="9">
    <w:abstractNumId w:val="11"/>
  </w:num>
  <w:num w:numId="10">
    <w:abstractNumId w:val="9"/>
  </w:num>
  <w:num w:numId="11">
    <w:abstractNumId w:val="19"/>
  </w:num>
  <w:num w:numId="12">
    <w:abstractNumId w:val="23"/>
  </w:num>
  <w:num w:numId="13">
    <w:abstractNumId w:val="22"/>
  </w:num>
  <w:num w:numId="14">
    <w:abstractNumId w:val="20"/>
  </w:num>
  <w:num w:numId="15">
    <w:abstractNumId w:val="18"/>
  </w:num>
  <w:num w:numId="16">
    <w:abstractNumId w:val="16"/>
  </w:num>
  <w:num w:numId="17">
    <w:abstractNumId w:val="7"/>
  </w:num>
  <w:num w:numId="18">
    <w:abstractNumId w:val="21"/>
  </w:num>
  <w:num w:numId="19">
    <w:abstractNumId w:val="26"/>
  </w:num>
  <w:num w:numId="20">
    <w:abstractNumId w:val="5"/>
  </w:num>
  <w:num w:numId="21">
    <w:abstractNumId w:val="13"/>
  </w:num>
  <w:num w:numId="22">
    <w:abstractNumId w:val="4"/>
  </w:num>
  <w:num w:numId="23">
    <w:abstractNumId w:val="0"/>
  </w:num>
  <w:num w:numId="24">
    <w:abstractNumId w:val="27"/>
  </w:num>
  <w:num w:numId="25">
    <w:abstractNumId w:val="24"/>
  </w:num>
  <w:num w:numId="26">
    <w:abstractNumId w:val="8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EF"/>
    <w:rsid w:val="0002067D"/>
    <w:rsid w:val="000415F0"/>
    <w:rsid w:val="000C26BE"/>
    <w:rsid w:val="00111073"/>
    <w:rsid w:val="00176FB5"/>
    <w:rsid w:val="001955D6"/>
    <w:rsid w:val="001A5C62"/>
    <w:rsid w:val="001C7042"/>
    <w:rsid w:val="001C7B40"/>
    <w:rsid w:val="001F6B7A"/>
    <w:rsid w:val="00216CA4"/>
    <w:rsid w:val="0024223B"/>
    <w:rsid w:val="00276D94"/>
    <w:rsid w:val="002917EA"/>
    <w:rsid w:val="002B1B85"/>
    <w:rsid w:val="00327F22"/>
    <w:rsid w:val="0034511D"/>
    <w:rsid w:val="003943BD"/>
    <w:rsid w:val="003971C8"/>
    <w:rsid w:val="003C18DA"/>
    <w:rsid w:val="003C79A7"/>
    <w:rsid w:val="003E06CF"/>
    <w:rsid w:val="003E22E7"/>
    <w:rsid w:val="00413238"/>
    <w:rsid w:val="00492093"/>
    <w:rsid w:val="004A48C3"/>
    <w:rsid w:val="004C2928"/>
    <w:rsid w:val="004F2FCD"/>
    <w:rsid w:val="004F39DA"/>
    <w:rsid w:val="0055279A"/>
    <w:rsid w:val="0055326C"/>
    <w:rsid w:val="00553435"/>
    <w:rsid w:val="005550B7"/>
    <w:rsid w:val="005768AD"/>
    <w:rsid w:val="00594D2C"/>
    <w:rsid w:val="005A0AFF"/>
    <w:rsid w:val="005E7A72"/>
    <w:rsid w:val="00605396"/>
    <w:rsid w:val="006162F1"/>
    <w:rsid w:val="007050E1"/>
    <w:rsid w:val="00730118"/>
    <w:rsid w:val="00735FA6"/>
    <w:rsid w:val="00742D16"/>
    <w:rsid w:val="00785BC0"/>
    <w:rsid w:val="00787130"/>
    <w:rsid w:val="008063FD"/>
    <w:rsid w:val="00865EB4"/>
    <w:rsid w:val="00884398"/>
    <w:rsid w:val="008B2122"/>
    <w:rsid w:val="008E1582"/>
    <w:rsid w:val="0099163A"/>
    <w:rsid w:val="0099750C"/>
    <w:rsid w:val="009C1C6D"/>
    <w:rsid w:val="009D2787"/>
    <w:rsid w:val="00A6069C"/>
    <w:rsid w:val="00A63E21"/>
    <w:rsid w:val="00A67871"/>
    <w:rsid w:val="00A74D5D"/>
    <w:rsid w:val="00AF7042"/>
    <w:rsid w:val="00B22093"/>
    <w:rsid w:val="00B33166"/>
    <w:rsid w:val="00B66BEF"/>
    <w:rsid w:val="00B8237C"/>
    <w:rsid w:val="00BD2BAA"/>
    <w:rsid w:val="00BF7CF3"/>
    <w:rsid w:val="00C26E0D"/>
    <w:rsid w:val="00C4582A"/>
    <w:rsid w:val="00C72C24"/>
    <w:rsid w:val="00CA2340"/>
    <w:rsid w:val="00D1288B"/>
    <w:rsid w:val="00D41A1E"/>
    <w:rsid w:val="00D41B5A"/>
    <w:rsid w:val="00D5662F"/>
    <w:rsid w:val="00D8304C"/>
    <w:rsid w:val="00D86C5F"/>
    <w:rsid w:val="00E0306B"/>
    <w:rsid w:val="00E03CC5"/>
    <w:rsid w:val="00E65CBD"/>
    <w:rsid w:val="00E76015"/>
    <w:rsid w:val="00E826FB"/>
    <w:rsid w:val="00E91883"/>
    <w:rsid w:val="00E9446F"/>
    <w:rsid w:val="00EA3C76"/>
    <w:rsid w:val="00EC3922"/>
    <w:rsid w:val="00EE11BB"/>
    <w:rsid w:val="00EF71C6"/>
    <w:rsid w:val="00F54A86"/>
    <w:rsid w:val="00F7142C"/>
    <w:rsid w:val="00F92785"/>
    <w:rsid w:val="00F9540D"/>
    <w:rsid w:val="00FB02ED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9E81"/>
  <w15:chartTrackingRefBased/>
  <w15:docId w15:val="{1AA69B9B-7650-4D6B-A93D-03B17908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5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5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451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84398"/>
  </w:style>
  <w:style w:type="paragraph" w:styleId="a5">
    <w:name w:val="footer"/>
    <w:basedOn w:val="a"/>
    <w:link w:val="a6"/>
    <w:uiPriority w:val="99"/>
    <w:unhideWhenUsed/>
    <w:rsid w:val="0088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84398"/>
  </w:style>
  <w:style w:type="paragraph" w:styleId="a7">
    <w:name w:val="No Spacing"/>
    <w:uiPriority w:val="1"/>
    <w:qFormat/>
    <w:rsid w:val="008843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5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4511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511D"/>
  </w:style>
  <w:style w:type="paragraph" w:customStyle="1" w:styleId="msonormal0">
    <w:name w:val="msonormal"/>
    <w:basedOn w:val="a"/>
    <w:rsid w:val="0034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4511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511D"/>
    <w:rPr>
      <w:color w:val="800080"/>
      <w:u w:val="single"/>
    </w:rPr>
  </w:style>
  <w:style w:type="character" w:customStyle="1" w:styleId="buttonicon">
    <w:name w:val="button_icon"/>
    <w:basedOn w:val="a0"/>
    <w:rsid w:val="0034511D"/>
  </w:style>
  <w:style w:type="character" w:customStyle="1" w:styleId="vcard">
    <w:name w:val="vcard"/>
    <w:basedOn w:val="a0"/>
    <w:rsid w:val="0034511D"/>
  </w:style>
  <w:style w:type="character" w:customStyle="1" w:styleId="label">
    <w:name w:val="label"/>
    <w:basedOn w:val="a0"/>
    <w:rsid w:val="0034511D"/>
  </w:style>
  <w:style w:type="character" w:customStyle="1" w:styleId="fn">
    <w:name w:val="fn"/>
    <w:basedOn w:val="a0"/>
    <w:rsid w:val="0034511D"/>
  </w:style>
  <w:style w:type="character" w:customStyle="1" w:styleId="12">
    <w:name w:val="Дата1"/>
    <w:basedOn w:val="a0"/>
    <w:rsid w:val="0034511D"/>
  </w:style>
  <w:style w:type="character" w:customStyle="1" w:styleId="cat-btn">
    <w:name w:val="cat-btn"/>
    <w:basedOn w:val="a0"/>
    <w:rsid w:val="0034511D"/>
  </w:style>
  <w:style w:type="character" w:customStyle="1" w:styleId="stfacebookvcount">
    <w:name w:val="st_facebook_vcount"/>
    <w:basedOn w:val="a0"/>
    <w:rsid w:val="0034511D"/>
  </w:style>
  <w:style w:type="character" w:customStyle="1" w:styleId="stbutton">
    <w:name w:val="stbutton"/>
    <w:basedOn w:val="a0"/>
    <w:rsid w:val="0034511D"/>
  </w:style>
  <w:style w:type="character" w:customStyle="1" w:styleId="stmainservices">
    <w:name w:val="stmainservices"/>
    <w:basedOn w:val="a0"/>
    <w:rsid w:val="0034511D"/>
  </w:style>
  <w:style w:type="character" w:customStyle="1" w:styleId="sttwittervcount">
    <w:name w:val="st_twitter_vcount"/>
    <w:basedOn w:val="a0"/>
    <w:rsid w:val="0034511D"/>
  </w:style>
  <w:style w:type="character" w:customStyle="1" w:styleId="stpinterestvcount">
    <w:name w:val="st_pinterest_vcount"/>
    <w:basedOn w:val="a0"/>
    <w:rsid w:val="0034511D"/>
  </w:style>
  <w:style w:type="paragraph" w:styleId="aa">
    <w:name w:val="Normal (Web)"/>
    <w:basedOn w:val="a"/>
    <w:uiPriority w:val="99"/>
    <w:semiHidden/>
    <w:unhideWhenUsed/>
    <w:rsid w:val="0034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4511D"/>
    <w:rPr>
      <w:b/>
      <w:bCs/>
    </w:rPr>
  </w:style>
  <w:style w:type="character" w:styleId="ac">
    <w:name w:val="Emphasis"/>
    <w:basedOn w:val="a0"/>
    <w:uiPriority w:val="20"/>
    <w:qFormat/>
    <w:rsid w:val="0034511D"/>
    <w:rPr>
      <w:i/>
      <w:iCs/>
    </w:rPr>
  </w:style>
  <w:style w:type="character" w:customStyle="1" w:styleId="buttonlabel">
    <w:name w:val="button_label"/>
    <w:basedOn w:val="a0"/>
    <w:rsid w:val="0034511D"/>
  </w:style>
  <w:style w:type="paragraph" w:customStyle="1" w:styleId="must-log-in">
    <w:name w:val="must-log-in"/>
    <w:basedOn w:val="a"/>
    <w:rsid w:val="0034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1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3451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1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інець форми Знак"/>
    <w:basedOn w:val="a0"/>
    <w:link w:val="z-1"/>
    <w:uiPriority w:val="99"/>
    <w:semiHidden/>
    <w:rsid w:val="003451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">
    <w:name w:val="t"/>
    <w:basedOn w:val="a0"/>
    <w:rsid w:val="0034511D"/>
  </w:style>
  <w:style w:type="character" w:customStyle="1" w:styleId="b">
    <w:name w:val="b"/>
    <w:basedOn w:val="a0"/>
    <w:rsid w:val="0034511D"/>
  </w:style>
  <w:style w:type="character" w:customStyle="1" w:styleId="c">
    <w:name w:val="c"/>
    <w:basedOn w:val="a0"/>
    <w:rsid w:val="0034511D"/>
  </w:style>
  <w:style w:type="paragraph" w:styleId="ad">
    <w:name w:val="Balloon Text"/>
    <w:basedOn w:val="a"/>
    <w:link w:val="ae"/>
    <w:uiPriority w:val="99"/>
    <w:semiHidden/>
    <w:unhideWhenUsed/>
    <w:rsid w:val="0017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6FB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7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9405">
                          <w:marLeft w:val="79"/>
                          <w:marRight w:val="7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51756">
                          <w:marLeft w:val="79"/>
                          <w:marRight w:val="7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4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6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735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61592">
                          <w:marLeft w:val="79"/>
                          <w:marRight w:val="79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9053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8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9258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5230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6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6341">
                              <w:marLeft w:val="79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5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5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37496">
                                  <w:marLeft w:val="79"/>
                                  <w:marRight w:val="79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0928">
                                          <w:marLeft w:val="45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48" w:space="0" w:color="F8F8F8"/>
                                            <w:left w:val="single" w:sz="48" w:space="0" w:color="F8F8F8"/>
                                            <w:bottom w:val="single" w:sz="48" w:space="0" w:color="F8F8F8"/>
                                            <w:right w:val="single" w:sz="48" w:space="0" w:color="F8F8F8"/>
                                          </w:divBdr>
                                          <w:divsChild>
                                            <w:div w:id="141119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5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3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099915">
                                  <w:marLeft w:val="79"/>
                                  <w:marRight w:val="79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2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69491">
                                          <w:marLeft w:val="45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48" w:space="0" w:color="F8F8F8"/>
                                            <w:left w:val="single" w:sz="48" w:space="0" w:color="F8F8F8"/>
                                            <w:bottom w:val="single" w:sz="48" w:space="0" w:color="F8F8F8"/>
                                            <w:right w:val="single" w:sz="48" w:space="0" w:color="F8F8F8"/>
                                          </w:divBdr>
                                          <w:divsChild>
                                            <w:div w:id="161994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04558">
                                  <w:marLeft w:val="79"/>
                                  <w:marRight w:val="79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5555">
                                          <w:marLeft w:val="45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48" w:space="0" w:color="F8F8F8"/>
                                            <w:left w:val="single" w:sz="48" w:space="0" w:color="F8F8F8"/>
                                            <w:bottom w:val="single" w:sz="48" w:space="0" w:color="F8F8F8"/>
                                            <w:right w:val="single" w:sz="48" w:space="0" w:color="F8F8F8"/>
                                          </w:divBdr>
                                          <w:divsChild>
                                            <w:div w:id="4214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6852">
                          <w:marLeft w:val="79"/>
                          <w:marRight w:val="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599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2556">
              <w:marLeft w:val="0"/>
              <w:marRight w:val="0"/>
              <w:marTop w:val="0"/>
              <w:marBottom w:val="0"/>
              <w:divBdr>
                <w:top w:val="single" w:sz="2" w:space="23" w:color="auto"/>
                <w:left w:val="single" w:sz="6" w:space="15" w:color="auto"/>
                <w:bottom w:val="single" w:sz="2" w:space="15" w:color="auto"/>
                <w:right w:val="single" w:sz="2" w:space="15" w:color="auto"/>
              </w:divBdr>
              <w:divsChild>
                <w:div w:id="517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1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4571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5642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48EF-A508-4734-800C-F2E3CDBE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27154</Words>
  <Characters>15478</Characters>
  <Application>Microsoft Office Word</Application>
  <DocSecurity>0</DocSecurity>
  <Lines>128</Lines>
  <Paragraphs>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51</cp:revision>
  <cp:lastPrinted>2020-07-14T13:26:00Z</cp:lastPrinted>
  <dcterms:created xsi:type="dcterms:W3CDTF">2018-05-04T12:13:00Z</dcterms:created>
  <dcterms:modified xsi:type="dcterms:W3CDTF">2020-07-14T13:27:00Z</dcterms:modified>
</cp:coreProperties>
</file>